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1272"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455" w:type="dxa"/>
            <w:vAlign w:val="center"/>
          </w:tcPr>
          <w:p>
            <w:pPr>
              <w:pStyle w:val="23"/>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受审核部门：综合部；              主管领导/陪同人员：何亚洲/徐艺</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rPr>
                <w:rFonts w:hint="eastAsia" w:ascii="等线" w:hAnsi="等线" w:eastAsia="等线" w:cs="等线"/>
                <w:sz w:val="21"/>
                <w:szCs w:val="21"/>
              </w:rPr>
            </w:pPr>
          </w:p>
        </w:tc>
        <w:tc>
          <w:tcPr>
            <w:tcW w:w="1272" w:type="dxa"/>
            <w:vMerge w:val="continue"/>
            <w:vAlign w:val="center"/>
          </w:tcPr>
          <w:p>
            <w:pPr>
              <w:rPr>
                <w:rFonts w:hint="eastAsia" w:ascii="等线" w:hAnsi="等线" w:eastAsia="等线" w:cs="等线"/>
                <w:sz w:val="21"/>
                <w:szCs w:val="21"/>
              </w:rPr>
            </w:pPr>
          </w:p>
        </w:tc>
        <w:tc>
          <w:tcPr>
            <w:tcW w:w="10455" w:type="dxa"/>
            <w:vAlign w:val="center"/>
          </w:tcPr>
          <w:p>
            <w:pPr>
              <w:pStyle w:val="23"/>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 xml:space="preserve">审核员：张磊                       审核时间：2022.3.16 </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rPr>
                <w:rFonts w:hint="eastAsia" w:ascii="等线" w:hAnsi="等线" w:eastAsia="等线" w:cs="等线"/>
                <w:color w:val="FF0000"/>
                <w:sz w:val="21"/>
                <w:szCs w:val="21"/>
              </w:rPr>
            </w:pPr>
          </w:p>
        </w:tc>
        <w:tc>
          <w:tcPr>
            <w:tcW w:w="1272" w:type="dxa"/>
            <w:vMerge w:val="continue"/>
            <w:vAlign w:val="center"/>
          </w:tcPr>
          <w:p>
            <w:pPr>
              <w:rPr>
                <w:rFonts w:hint="eastAsia" w:ascii="等线" w:hAnsi="等线" w:eastAsia="等线" w:cs="等线"/>
                <w:color w:val="FF0000"/>
                <w:sz w:val="21"/>
                <w:szCs w:val="21"/>
              </w:rPr>
            </w:pPr>
          </w:p>
        </w:tc>
        <w:tc>
          <w:tcPr>
            <w:tcW w:w="10455" w:type="dxa"/>
            <w:vAlign w:val="center"/>
          </w:tcPr>
          <w:p>
            <w:pPr>
              <w:pStyle w:val="23"/>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QEO:5.3岗位/职责 /权限；6.2QEO目标及其实现的策划；9.1.1监视、测量、分析和评价总则；9.1.3分析与评价；9.2内部审核；10.2不符合和纠正措施；</w:t>
            </w:r>
          </w:p>
          <w:p>
            <w:pPr>
              <w:pStyle w:val="23"/>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EO：6.1.2环境因素/危险源辨识和职业安全风险评价；6.1.3合规义务/法律法规要求和其他要求；8.1运行策划和控制；8.2应急准备和响应；9.1.2合规性评价；</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48" w:type="dxa"/>
          </w:tcPr>
          <w:p>
            <w:pPr>
              <w:pStyle w:val="23"/>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组织的岗位职责和权限</w:t>
            </w:r>
          </w:p>
          <w:p>
            <w:pPr>
              <w:pStyle w:val="23"/>
              <w:rPr>
                <w:rFonts w:hint="eastAsia" w:ascii="宋体" w:hAnsi="宋体" w:eastAsia="宋体" w:cs="宋体"/>
                <w:bCs w:val="0"/>
                <w:spacing w:val="0"/>
                <w:kern w:val="2"/>
                <w:sz w:val="21"/>
                <w:szCs w:val="21"/>
                <w:lang w:val="en-US" w:eastAsia="zh-CN" w:bidi="ar-SA"/>
              </w:rPr>
            </w:pPr>
          </w:p>
        </w:tc>
        <w:tc>
          <w:tcPr>
            <w:tcW w:w="1272" w:type="dxa"/>
          </w:tcPr>
          <w:p>
            <w:pPr>
              <w:pStyle w:val="23"/>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QEO5.3</w:t>
            </w:r>
          </w:p>
          <w:p>
            <w:pPr>
              <w:pStyle w:val="23"/>
              <w:rPr>
                <w:rFonts w:hint="eastAsia" w:ascii="宋体" w:hAnsi="宋体" w:eastAsia="宋体" w:cs="宋体"/>
                <w:bCs w:val="0"/>
                <w:spacing w:val="0"/>
                <w:kern w:val="2"/>
                <w:sz w:val="21"/>
                <w:szCs w:val="21"/>
                <w:lang w:val="en-US" w:eastAsia="zh-CN" w:bidi="ar-SA"/>
              </w:rPr>
            </w:pPr>
          </w:p>
        </w:tc>
        <w:tc>
          <w:tcPr>
            <w:tcW w:w="10455" w:type="dxa"/>
            <w:vAlign w:val="center"/>
          </w:tcPr>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审核发现综合部</w:t>
            </w:r>
            <w:r>
              <w:rPr>
                <w:rFonts w:hint="eastAsia" w:ascii="宋体" w:hAnsi="宋体" w:eastAsia="宋体" w:cs="宋体"/>
                <w:bCs w:val="0"/>
                <w:spacing w:val="0"/>
                <w:kern w:val="2"/>
                <w:sz w:val="21"/>
                <w:szCs w:val="21"/>
                <w:lang w:val="en-US" w:eastAsia="zh-CN" w:bidi="ar-SA"/>
              </w:rPr>
              <w:t>主要负责以下工作内容：</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协助领导做好各类会议的会务工作和落实会议作出的各项决定，负责会议记录；</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协助和处理公司日常行政事务工作；负责重要来信来访的处理及信息沟通和协商等；负责制定本单位职工培训年度计划，并组织实施；  </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负责职工人事档案与印章管理； </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负责事业编制人员岗位聘任工作；</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贯彻实施公司的质量、环境和职业健康安全及企业管理方针、目标、指标和管理方案；</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对本部门环境因素、危险源进行辨识和评价，制订控制措施；</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参与公司组织的应急演练；</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对工作场所进行风险控制，保护环境。</w:t>
            </w:r>
          </w:p>
          <w:p>
            <w:pPr>
              <w:pStyle w:val="23"/>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w:t>
            </w:r>
            <w:r>
              <w:rPr>
                <w:rFonts w:hint="eastAsia" w:ascii="宋体" w:hAnsi="宋体" w:cs="宋体"/>
                <w:bCs w:val="0"/>
                <w:spacing w:val="0"/>
                <w:kern w:val="2"/>
                <w:sz w:val="21"/>
                <w:szCs w:val="21"/>
                <w:lang w:val="en-US" w:eastAsia="zh-CN" w:bidi="ar-SA"/>
              </w:rPr>
              <w:t>综合部</w:t>
            </w:r>
            <w:r>
              <w:rPr>
                <w:rFonts w:hint="eastAsia" w:ascii="宋体" w:hAnsi="宋体" w:eastAsia="宋体" w:cs="宋体"/>
                <w:bCs w:val="0"/>
                <w:spacing w:val="0"/>
                <w:kern w:val="2"/>
                <w:sz w:val="21"/>
                <w:szCs w:val="21"/>
                <w:lang w:val="en-US" w:eastAsia="zh-CN" w:bidi="ar-SA"/>
              </w:rPr>
              <w:t>负责人</w:t>
            </w:r>
            <w:r>
              <w:rPr>
                <w:rFonts w:hint="eastAsia" w:ascii="宋体" w:hAnsi="宋体" w:cs="宋体"/>
                <w:bCs w:val="0"/>
                <w:spacing w:val="0"/>
                <w:kern w:val="2"/>
                <w:sz w:val="21"/>
                <w:szCs w:val="21"/>
                <w:lang w:val="en-US" w:eastAsia="zh-CN" w:bidi="ar-SA"/>
              </w:rPr>
              <w:t>何亚洲</w:t>
            </w:r>
            <w:r>
              <w:rPr>
                <w:rFonts w:hint="eastAsia" w:ascii="宋体" w:hAnsi="宋体" w:eastAsia="宋体" w:cs="宋体"/>
                <w:bCs w:val="0"/>
                <w:spacing w:val="0"/>
                <w:kern w:val="2"/>
                <w:sz w:val="21"/>
                <w:szCs w:val="21"/>
                <w:lang w:val="en-US" w:eastAsia="zh-CN" w:bidi="ar-SA"/>
              </w:rPr>
              <w:t>沟通，描述的职责和权限与一体化管理体系的职能分配表基本一致。</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48" w:type="dxa"/>
          </w:tcPr>
          <w:p>
            <w:pPr>
              <w:pStyle w:val="23"/>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组织的环境因素、危险源辨识和职业安全风险评价</w:t>
            </w:r>
          </w:p>
        </w:tc>
        <w:tc>
          <w:tcPr>
            <w:tcW w:w="1272" w:type="dxa"/>
          </w:tcPr>
          <w:p>
            <w:pPr>
              <w:pStyle w:val="23"/>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EO：6.1.2</w:t>
            </w:r>
          </w:p>
        </w:tc>
        <w:tc>
          <w:tcPr>
            <w:tcW w:w="10455" w:type="dxa"/>
            <w:vAlign w:val="center"/>
          </w:tcPr>
          <w:p>
            <w:pPr>
              <w:pStyle w:val="23"/>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组织根据手册第6.1.2条款、《环境因素识别与评价管理程序》要求，由综合部负责指导各部门环境因素的调查、评价、汇总、登记、审定及更新，各部门负责组织实施，综合部负责汇总整理。</w:t>
            </w:r>
          </w:p>
          <w:p>
            <w:pPr>
              <w:pStyle w:val="23"/>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查看组织《环境因素识别评价表》，组织在办公区等场所，按照活动过程调查、识别和确定了环境因素及其环境影响，对环境因素的状态进行评价，对应责任部门明确，有相应的保存期限、责任人和制定日期，基本满足环境因素识别、确定和保持要求。</w:t>
            </w:r>
          </w:p>
          <w:p>
            <w:pPr>
              <w:pStyle w:val="23"/>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组织按照《环境因素识别与评价程序》准则确定了重要环境因素，抽查组织《重要环境因素清单》内容如下：</w:t>
            </w:r>
          </w:p>
          <w:tbl>
            <w:tblPr>
              <w:tblStyle w:val="11"/>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环境因素</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活动点/工序或部位</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环境影响</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时态/状态</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3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136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固废的排放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办公废旧灯管、电池、磁盘、生活垃圾等废弃</w:t>
                  </w:r>
                </w:p>
              </w:tc>
              <w:tc>
                <w:tcPr>
                  <w:tcW w:w="1843"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固废处理</w:t>
                  </w:r>
                </w:p>
                <w:p>
                  <w:pPr>
                    <w:spacing w:line="240" w:lineRule="exact"/>
                    <w:rPr>
                      <w:rFonts w:hint="eastAsia"/>
                      <w:sz w:val="18"/>
                      <w:szCs w:val="18"/>
                      <w:lang w:val="en-US" w:eastAsia="zh-CN"/>
                    </w:rPr>
                  </w:pPr>
                  <w:r>
                    <w:rPr>
                      <w:rFonts w:hint="eastAsia"/>
                      <w:sz w:val="18"/>
                      <w:szCs w:val="18"/>
                      <w:lang w:val="en-US" w:eastAsia="zh-CN"/>
                    </w:rPr>
                    <w:t>污染土壤</w:t>
                  </w:r>
                </w:p>
              </w:tc>
              <w:tc>
                <w:tcPr>
                  <w:tcW w:w="123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①目标、指标及环境管理方案</w:t>
                  </w:r>
                </w:p>
                <w:p>
                  <w:pPr>
                    <w:spacing w:line="240" w:lineRule="exact"/>
                    <w:rPr>
                      <w:rFonts w:hint="eastAsia"/>
                      <w:sz w:val="18"/>
                      <w:szCs w:val="18"/>
                      <w:lang w:val="en-US" w:eastAsia="zh-CN"/>
                    </w:rPr>
                  </w:pPr>
                  <w:r>
                    <w:rPr>
                      <w:rFonts w:hint="eastAsia"/>
                      <w:sz w:val="18"/>
                      <w:szCs w:val="18"/>
                      <w:lang w:val="en-US" w:eastAsia="zh-CN"/>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潜在火灾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办公、后勤生活</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大气、土壤等综合性污染</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①应急方案</w:t>
                  </w:r>
                </w:p>
              </w:tc>
            </w:tr>
          </w:tbl>
          <w:p>
            <w:pPr>
              <w:pStyle w:val="23"/>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重要环境因素识别、评价与实际吻合，管理方案明确控制措施基本能够满足控制要求。</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6.1.2条款、《危险源辨识与风险评价控制措施管理程序》要求，由综合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tbl>
            <w:tblPr>
              <w:tblStyle w:val="11"/>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2370"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活动点/工序/部位</w:t>
                  </w:r>
                </w:p>
              </w:tc>
              <w:tc>
                <w:tcPr>
                  <w:tcW w:w="2490" w:type="dxa"/>
                  <w:noWrap w:val="0"/>
                  <w:vAlign w:val="center"/>
                </w:tcPr>
                <w:p>
                  <w:pPr>
                    <w:spacing w:line="240" w:lineRule="exact"/>
                    <w:rPr>
                      <w:rFonts w:hint="eastAsia"/>
                      <w:sz w:val="18"/>
                      <w:szCs w:val="18"/>
                      <w:lang w:val="en-US" w:eastAsia="zh-CN"/>
                    </w:rPr>
                  </w:pPr>
                  <w:r>
                    <w:rPr>
                      <w:rFonts w:hint="eastAsia"/>
                      <w:sz w:val="18"/>
                      <w:szCs w:val="18"/>
                      <w:lang w:val="en-US" w:eastAsia="zh-CN"/>
                    </w:rPr>
                    <w:t>潜在的危险因素</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可能导致的结果</w:t>
                  </w:r>
                </w:p>
              </w:tc>
              <w:tc>
                <w:tcPr>
                  <w:tcW w:w="3269" w:type="dxa"/>
                  <w:noWrap w:val="0"/>
                  <w:vAlign w:val="center"/>
                </w:tcPr>
                <w:p>
                  <w:pPr>
                    <w:spacing w:line="240" w:lineRule="exact"/>
                    <w:rPr>
                      <w:rFonts w:hint="eastAsia"/>
                      <w:sz w:val="18"/>
                      <w:szCs w:val="18"/>
                      <w:lang w:val="en-US" w:eastAsia="zh-CN"/>
                    </w:rPr>
                  </w:pPr>
                  <w:r>
                    <w:rPr>
                      <w:rFonts w:hint="eastAsia"/>
                      <w:sz w:val="18"/>
                      <w:szCs w:val="18"/>
                      <w:lang w:val="en-US" w:eastAsia="zh-CN"/>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2370" w:type="dxa"/>
                  <w:noWrap w:val="0"/>
                  <w:vAlign w:val="center"/>
                </w:tcPr>
                <w:p>
                  <w:pPr>
                    <w:spacing w:line="240" w:lineRule="exact"/>
                    <w:rPr>
                      <w:rFonts w:hint="eastAsia"/>
                      <w:sz w:val="18"/>
                      <w:szCs w:val="18"/>
                      <w:lang w:val="en-US" w:eastAsia="zh-CN"/>
                    </w:rPr>
                  </w:pPr>
                  <w:r>
                    <w:rPr>
                      <w:rFonts w:hint="eastAsia"/>
                      <w:sz w:val="18"/>
                      <w:szCs w:val="18"/>
                    </w:rPr>
                    <w:t>触电（私拉电线、设备漏电、违章作业等）</w:t>
                  </w:r>
                </w:p>
              </w:tc>
              <w:tc>
                <w:tcPr>
                  <w:tcW w:w="2490" w:type="dxa"/>
                  <w:noWrap w:val="0"/>
                  <w:vAlign w:val="center"/>
                </w:tcPr>
                <w:p>
                  <w:pPr>
                    <w:spacing w:line="240" w:lineRule="exact"/>
                    <w:rPr>
                      <w:rFonts w:hint="eastAsia"/>
                      <w:sz w:val="18"/>
                      <w:szCs w:val="18"/>
                      <w:lang w:val="en-US" w:eastAsia="zh-CN"/>
                    </w:rPr>
                  </w:pPr>
                  <w:r>
                    <w:rPr>
                      <w:rFonts w:hint="eastAsia"/>
                      <w:sz w:val="18"/>
                      <w:szCs w:val="18"/>
                    </w:rPr>
                    <w:t>触电伤亡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2370" w:type="dxa"/>
                  <w:noWrap w:val="0"/>
                  <w:vAlign w:val="center"/>
                </w:tcPr>
                <w:p>
                  <w:pPr>
                    <w:spacing w:line="240" w:lineRule="exact"/>
                    <w:rPr>
                      <w:rFonts w:hint="eastAsia"/>
                      <w:sz w:val="18"/>
                      <w:szCs w:val="18"/>
                      <w:lang w:val="en-US" w:eastAsia="zh-CN"/>
                    </w:rPr>
                  </w:pPr>
                  <w:r>
                    <w:rPr>
                      <w:rFonts w:hint="eastAsia"/>
                      <w:sz w:val="18"/>
                      <w:szCs w:val="18"/>
                    </w:rPr>
                    <w:t>潜在火灾事故（电线老化；易燃处吸烟、动火等）</w:t>
                  </w:r>
                </w:p>
              </w:tc>
              <w:tc>
                <w:tcPr>
                  <w:tcW w:w="2490" w:type="dxa"/>
                  <w:noWrap w:val="0"/>
                  <w:vAlign w:val="center"/>
                </w:tcPr>
                <w:p>
                  <w:pPr>
                    <w:spacing w:line="240" w:lineRule="exact"/>
                    <w:rPr>
                      <w:rFonts w:hint="eastAsia"/>
                      <w:sz w:val="18"/>
                      <w:szCs w:val="18"/>
                      <w:lang w:val="en-US" w:eastAsia="zh-CN"/>
                    </w:rPr>
                  </w:pPr>
                  <w:r>
                    <w:rPr>
                      <w:rFonts w:hint="eastAsia"/>
                      <w:sz w:val="18"/>
                      <w:szCs w:val="18"/>
                    </w:rPr>
                    <w:t>火灾伤亡</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人员的人身伤害</w:t>
                  </w:r>
                </w:p>
              </w:tc>
              <w:tc>
                <w:tcPr>
                  <w:tcW w:w="3269" w:type="dxa"/>
                  <w:noWrap w:val="0"/>
                  <w:vAlign w:val="center"/>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bl>
          <w:p>
            <w:pPr>
              <w:pStyle w:val="23"/>
              <w:ind w:firstLine="420" w:firstLineChars="200"/>
              <w:rPr>
                <w:rFonts w:hint="default" w:ascii="宋体" w:hAnsi="宋体" w:cs="宋体"/>
                <w:bCs w:val="0"/>
                <w:spacing w:val="0"/>
                <w:kern w:val="2"/>
                <w:sz w:val="21"/>
                <w:szCs w:val="21"/>
                <w:lang w:val="en-US" w:eastAsia="zh-CN" w:bidi="ar-SA"/>
              </w:rPr>
            </w:pPr>
            <w:bookmarkStart w:id="0" w:name="_GoBack"/>
            <w:bookmarkEnd w:id="0"/>
            <w:r>
              <w:rPr>
                <w:rFonts w:hint="eastAsia" w:ascii="宋体" w:hAnsi="宋体" w:cs="宋体"/>
                <w:bCs w:val="0"/>
                <w:spacing w:val="0"/>
                <w:kern w:val="2"/>
                <w:sz w:val="21"/>
                <w:szCs w:val="21"/>
                <w:lang w:val="en-US" w:eastAsia="zh-CN" w:bidi="ar-SA"/>
              </w:rPr>
              <w:t>组织的职业健康安全风险与危险源辨识清单判定的内容一致，综合部负责人何亚洲在访谈时介绍，组织会在危险源和风险识别、确定和应对的过程中寻找机遇，包括：1）使工作、工作组织和工作环境适合于工作人员；2）消除危险源和降低职业健康安全风险等，基本与GB/T 45001-2020和企业手册以及程序文件要求识别的机遇一致，符合要求。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848"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目标及其实现的策划总要求</w:t>
            </w:r>
          </w:p>
          <w:p>
            <w:pPr>
              <w:spacing w:line="280" w:lineRule="exact"/>
              <w:rPr>
                <w:rFonts w:hint="eastAsia" w:ascii="宋体" w:hAnsi="宋体" w:eastAsia="宋体" w:cs="宋体"/>
                <w:bCs w:val="0"/>
                <w:spacing w:val="0"/>
                <w:kern w:val="2"/>
                <w:sz w:val="21"/>
                <w:szCs w:val="21"/>
                <w:lang w:val="en-US" w:eastAsia="zh-CN" w:bidi="ar-SA"/>
              </w:rPr>
            </w:pPr>
          </w:p>
        </w:tc>
        <w:tc>
          <w:tcPr>
            <w:tcW w:w="1272"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QEO6.2</w:t>
            </w:r>
          </w:p>
          <w:p>
            <w:pPr>
              <w:spacing w:line="280" w:lineRule="exact"/>
              <w:rPr>
                <w:rFonts w:hint="eastAsia" w:ascii="宋体" w:hAnsi="宋体" w:eastAsia="宋体" w:cs="宋体"/>
                <w:bCs w:val="0"/>
                <w:spacing w:val="0"/>
                <w:kern w:val="2"/>
                <w:sz w:val="21"/>
                <w:szCs w:val="21"/>
                <w:lang w:val="en-US" w:eastAsia="zh-CN" w:bidi="ar-SA"/>
              </w:rPr>
            </w:pPr>
          </w:p>
          <w:p>
            <w:pPr>
              <w:spacing w:line="280" w:lineRule="exact"/>
              <w:rPr>
                <w:rFonts w:hint="eastAsia" w:ascii="宋体" w:hAnsi="宋体" w:eastAsia="宋体" w:cs="宋体"/>
                <w:bCs w:val="0"/>
                <w:spacing w:val="0"/>
                <w:kern w:val="2"/>
                <w:sz w:val="21"/>
                <w:szCs w:val="21"/>
                <w:lang w:val="en-US" w:eastAsia="zh-CN" w:bidi="ar-SA"/>
              </w:rPr>
            </w:pP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根据实际制定了质量、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组织的的质量、环境和职业健康安全目标如下：</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质量目标：1.培训计划完成率≥9</w:t>
            </w:r>
            <w:r>
              <w:rPr>
                <w:rFonts w:hint="eastAsia" w:cs="Times New Roman"/>
                <w:lang w:val="en-US" w:eastAsia="zh-CN"/>
              </w:rPr>
              <w:t>5</w:t>
            </w:r>
            <w:r>
              <w:rPr>
                <w:rFonts w:hint="eastAsia" w:ascii="Times New Roman" w:hAnsi="Times New Roman" w:cs="Times New Roman"/>
                <w:lang w:val="en-US" w:eastAsia="zh-CN"/>
              </w:rPr>
              <w:t>%。</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环境目标：遵守法律法规，坚持以节约、高效、环保为核心的商业模式，满足环境规定要求，确保社会和相关方满意；环境指标：各类废弃物按规定处置率100%。</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职业健康安全目标：确保员工职业健康安全；职业健康安全指标：重大安全事故（触电、火灾）发生为0。</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组织对质量、环境、职业健康安全目标、指标在相关职能层次上予以分解，基本能够满足要求，具体见各部门6.2目标监视记录。</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见《2021年质量目标分解和完成情况统计表》、《安全目标指标方案检查记录》、《环境目标指标方案检查记录》，均有相应的监视和评审记录，符合控制要求。部门分解目标与公司方针一致，可测量，并传达到部门相关人员，必要时适时更新，目前无变化。</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提供《目标完成情况考核统计表》，完成情况：以上各产品标均已达成。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针对以上环境、职业健康安全目标和重要环境因素和重大危险源公司制定了相应的《管理方案》，内容涉及方法措施、执行部门、预算资金、启动/完成时间、完成情况等。如工作中的</w:t>
            </w:r>
            <w:r>
              <w:rPr>
                <w:rFonts w:hint="eastAsia" w:cs="Times New Roman"/>
                <w:lang w:val="en-US" w:eastAsia="zh-CN"/>
              </w:rPr>
              <w:t>墨盒、生活垃圾等</w:t>
            </w:r>
            <w:r>
              <w:rPr>
                <w:rFonts w:hint="eastAsia" w:ascii="Times New Roman" w:hAnsi="Times New Roman" w:cs="Times New Roman"/>
                <w:lang w:val="en-US" w:eastAsia="zh-CN"/>
              </w:rPr>
              <w:t>等废弃物严格按废弃物控制规范进行处理；配备有效的灭火器等消防设施，安全操作隐患检查每月至少1次、现场每天检查操作规范性，防止影响环境和造成职业健康安全隐患的操作等……</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时间表：自管理体系运行以来持续进行，已按管理方案要求实施。</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运行的策划和控制</w:t>
            </w:r>
          </w:p>
        </w:tc>
        <w:tc>
          <w:tcPr>
            <w:tcW w:w="1272"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E08.1</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组织制定了《环境、安全运行控制程序》、《环境因素识别与评价控制程序》</w:t>
            </w:r>
            <w:r>
              <w:rPr>
                <w:rFonts w:hint="eastAsia" w:cs="Times New Roman"/>
                <w:lang w:val="en-US" w:eastAsia="zh-CN"/>
              </w:rPr>
              <w:t>、《危险源辨识和风险控制策划程序》</w:t>
            </w:r>
            <w:r>
              <w:rPr>
                <w:rFonts w:hint="eastAsia" w:ascii="Times New Roman" w:hAnsi="Times New Roman" w:cs="Times New Roman"/>
                <w:lang w:val="en-US" w:eastAsia="zh-CN"/>
              </w:rPr>
              <w:t>等过程控制准则，根据准则要求，</w:t>
            </w:r>
            <w:r>
              <w:rPr>
                <w:rFonts w:hint="eastAsia" w:cs="Times New Roman"/>
                <w:lang w:val="en-US" w:eastAsia="zh-CN"/>
              </w:rPr>
              <w:t>综合部</w:t>
            </w:r>
            <w:r>
              <w:rPr>
                <w:rFonts w:hint="eastAsia" w:ascii="Times New Roman" w:hAnsi="Times New Roman" w:cs="Times New Roman"/>
                <w:lang w:val="en-US" w:eastAsia="zh-CN"/>
              </w:rPr>
              <w:t>负责对固体废弃物、能资源消耗、</w:t>
            </w:r>
            <w:r>
              <w:rPr>
                <w:rFonts w:hint="eastAsia" w:cs="Times New Roman"/>
                <w:lang w:val="en-US" w:eastAsia="zh-CN"/>
              </w:rPr>
              <w:t>火灾预防</w:t>
            </w:r>
            <w:r>
              <w:rPr>
                <w:rFonts w:hint="eastAsia" w:ascii="Times New Roman" w:hAnsi="Times New Roman" w:cs="Times New Roman"/>
                <w:lang w:val="en-US" w:eastAsia="zh-CN"/>
              </w:rPr>
              <w:t>等经营活动过程中重要环境因素采取控制措施的监督管理以及对相关方环境表现情况的监督管理；对经营活动过程中潜在的不安全隐患和健康危害并采取控制措施的监督管理以及对相关方职业健康表现的监督管理。</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1.组织产生的固废主要包括：一般固废：办公废旧灯管、电池、磁盘等废弃</w:t>
            </w:r>
            <w:r>
              <w:rPr>
                <w:rFonts w:hint="eastAsia" w:cs="Times New Roman"/>
                <w:lang w:val="en-US" w:eastAsia="zh-CN"/>
              </w:rPr>
              <w:t>、办公生活垃圾</w:t>
            </w:r>
            <w:r>
              <w:rPr>
                <w:rFonts w:hint="eastAsia" w:ascii="Times New Roman" w:hAnsi="Times New Roman" w:cs="Times New Roman"/>
                <w:lang w:val="en-US" w:eastAsia="zh-CN"/>
              </w:rPr>
              <w:t>。办公废旧灯管、电池、磁盘等废弃</w:t>
            </w:r>
            <w:r>
              <w:rPr>
                <w:rFonts w:hint="eastAsia" w:cs="Times New Roman"/>
                <w:lang w:val="en-US" w:eastAsia="zh-CN"/>
              </w:rPr>
              <w:t>物，由供应商回购，提供供应商环境安全告知书，但未签订相关回收合同</w:t>
            </w:r>
            <w:r>
              <w:rPr>
                <w:rFonts w:hint="eastAsia" w:ascii="Times New Roman" w:hAnsi="Times New Roman" w:cs="Times New Roman"/>
                <w:lang w:val="en-US" w:eastAsia="zh-CN"/>
              </w:rPr>
              <w:t>。</w:t>
            </w:r>
            <w:r>
              <w:rPr>
                <w:rFonts w:hint="eastAsia" w:cs="Times New Roman"/>
                <w:lang w:val="en-US" w:eastAsia="zh-CN"/>
              </w:rPr>
              <w:t xml:space="preserve">办公生活垃圾，综合部负责垃圾分类，交物业统一处理。提供ER-8.1-02固体废弃物处置统计表，登记生活垃圾、废纸、废电池等处置记录； </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2.能源资源管控</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提供2021年1</w:t>
            </w:r>
            <w:r>
              <w:rPr>
                <w:rFonts w:hint="eastAsia" w:cs="Times New Roman"/>
                <w:lang w:val="en-US" w:eastAsia="zh-CN"/>
              </w:rPr>
              <w:t>0</w:t>
            </w:r>
            <w:r>
              <w:rPr>
                <w:rFonts w:hint="eastAsia" w:ascii="Times New Roman" w:hAnsi="Times New Roman" w:cs="Times New Roman"/>
                <w:lang w:val="en-US" w:eastAsia="zh-CN"/>
              </w:rPr>
              <w:t>-1</w:t>
            </w:r>
            <w:r>
              <w:rPr>
                <w:rFonts w:hint="eastAsia" w:cs="Times New Roman"/>
                <w:lang w:val="en-US" w:eastAsia="zh-CN"/>
              </w:rPr>
              <w:t>2</w:t>
            </w:r>
            <w:r>
              <w:rPr>
                <w:rFonts w:hint="eastAsia" w:ascii="Times New Roman" w:hAnsi="Times New Roman" w:cs="Times New Roman"/>
                <w:lang w:val="en-US" w:eastAsia="zh-CN"/>
              </w:rPr>
              <w:t>月消耗记录，组织办公区域注意节水、节电、节油，人走关闭开关，未发现有漏水和浪费电能的现象。</w:t>
            </w:r>
          </w:p>
          <w:p>
            <w:pPr>
              <w:ind w:firstLine="420" w:firstLineChars="200"/>
              <w:jc w:val="left"/>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.潜在火灾管控</w:t>
            </w:r>
          </w:p>
          <w:p>
            <w:pPr>
              <w:ind w:left="210" w:leftChars="100"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组织办公场所均配有灭火器，经抽查，均处于有效状态。</w:t>
            </w:r>
          </w:p>
          <w:p>
            <w:pPr>
              <w:numPr>
                <w:ilvl w:val="0"/>
                <w:numId w:val="1"/>
              </w:numPr>
              <w:ind w:firstLine="420" w:firstLineChars="200"/>
              <w:jc w:val="left"/>
              <w:rPr>
                <w:rFonts w:hint="eastAsia" w:cs="Times New Roman"/>
                <w:lang w:val="en-US" w:eastAsia="zh-CN"/>
              </w:rPr>
            </w:pPr>
            <w:r>
              <w:rPr>
                <w:rFonts w:hint="eastAsia" w:cs="Times New Roman"/>
                <w:lang w:val="en-US" w:eastAsia="zh-CN"/>
              </w:rPr>
              <w:t>用电安全</w:t>
            </w:r>
          </w:p>
          <w:p>
            <w:pPr>
              <w:numPr>
                <w:ilvl w:val="0"/>
                <w:numId w:val="0"/>
              </w:numPr>
              <w:ind w:firstLine="420" w:firstLineChars="200"/>
              <w:jc w:val="left"/>
              <w:rPr>
                <w:rFonts w:hint="eastAsia" w:ascii="Times New Roman" w:hAnsi="Times New Roman" w:cs="Times New Roman"/>
                <w:lang w:val="en-US" w:eastAsia="zh-CN"/>
              </w:rPr>
            </w:pPr>
            <w:r>
              <w:rPr>
                <w:rFonts w:hint="eastAsia" w:cs="Times New Roman"/>
                <w:lang w:val="en-US" w:eastAsia="zh-CN"/>
              </w:rPr>
              <w:t>由综合部统一组织用电等安全检查表，要求人走断电，严禁私拉电线、检查设备是否漏电、通过日常安全教育避免用电违章作业等。</w:t>
            </w:r>
          </w:p>
          <w:p>
            <w:pPr>
              <w:numPr>
                <w:ilvl w:val="0"/>
                <w:numId w:val="1"/>
              </w:numPr>
              <w:ind w:firstLine="420" w:firstLineChars="200"/>
              <w:jc w:val="left"/>
              <w:rPr>
                <w:rFonts w:hint="default"/>
                <w:lang w:val="en-US" w:eastAsia="zh-CN"/>
              </w:rPr>
            </w:pPr>
            <w:r>
              <w:rPr>
                <w:rFonts w:hint="eastAsia"/>
                <w:lang w:val="en-US" w:eastAsia="zh-CN"/>
              </w:rPr>
              <w:t>交通事故</w:t>
            </w:r>
          </w:p>
          <w:p>
            <w:pPr>
              <w:numPr>
                <w:ilvl w:val="0"/>
                <w:numId w:val="0"/>
              </w:numPr>
              <w:ind w:firstLine="420" w:firstLineChars="200"/>
              <w:jc w:val="left"/>
              <w:rPr>
                <w:rFonts w:hint="default"/>
                <w:lang w:val="en-US" w:eastAsia="zh-CN"/>
              </w:rPr>
            </w:pPr>
            <w:r>
              <w:rPr>
                <w:rFonts w:hint="eastAsia"/>
                <w:lang w:val="en-US" w:eastAsia="zh-CN"/>
              </w:rPr>
              <w:t>开展日常交通安全教育，人员出行遵守交通法规。</w:t>
            </w:r>
          </w:p>
          <w:p>
            <w:pPr>
              <w:numPr>
                <w:ilvl w:val="0"/>
                <w:numId w:val="1"/>
              </w:numPr>
              <w:ind w:left="0" w:leftChars="0" w:firstLine="420" w:firstLineChars="200"/>
              <w:jc w:val="left"/>
              <w:rPr>
                <w:rFonts w:hint="default" w:ascii="Times New Roman" w:hAnsi="Times New Roman" w:cs="Times New Roman"/>
                <w:lang w:val="en-US" w:eastAsia="zh-CN"/>
              </w:rPr>
            </w:pPr>
            <w:r>
              <w:rPr>
                <w:rFonts w:hint="eastAsia" w:cs="Times New Roman"/>
                <w:lang w:val="en-US" w:eastAsia="zh-CN"/>
              </w:rPr>
              <w:t>防疫要求</w:t>
            </w:r>
          </w:p>
          <w:p>
            <w:pPr>
              <w:numPr>
                <w:ilvl w:val="0"/>
                <w:numId w:val="0"/>
              </w:numPr>
              <w:ind w:firstLine="420" w:firstLineChars="200"/>
              <w:jc w:val="left"/>
              <w:rPr>
                <w:rFonts w:hint="eastAsia"/>
                <w:lang w:val="en-US" w:eastAsia="zh-CN"/>
              </w:rPr>
            </w:pPr>
            <w:r>
              <w:rPr>
                <w:rFonts w:hint="eastAsia"/>
                <w:lang w:val="en-US" w:eastAsia="zh-CN"/>
              </w:rPr>
              <w:t>不因公出差到高风险区域，人员外行要求佩戴口罩，上下班进出公司监测体温，查看健康码和行程程；</w:t>
            </w:r>
          </w:p>
          <w:p>
            <w:pPr>
              <w:numPr>
                <w:ilvl w:val="0"/>
                <w:numId w:val="1"/>
              </w:numPr>
              <w:ind w:left="0" w:leftChars="0"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提供防护用品发放标准和发放记录，标准中发放对象覆盖全部员工，防护用品包括</w:t>
            </w:r>
            <w:r>
              <w:rPr>
                <w:rFonts w:hint="eastAsia" w:cs="Times New Roman"/>
                <w:lang w:val="en-US" w:eastAsia="zh-CN"/>
              </w:rPr>
              <w:t>口罩</w:t>
            </w:r>
            <w:r>
              <w:rPr>
                <w:rFonts w:hint="eastAsia" w:ascii="Times New Roman" w:hAnsi="Times New Roman" w:cs="Times New Roman"/>
                <w:lang w:val="en-US" w:eastAsia="zh-CN"/>
              </w:rPr>
              <w:t>等</w:t>
            </w:r>
            <w:r>
              <w:rPr>
                <w:rFonts w:hint="eastAsia" w:cs="Times New Roman"/>
                <w:lang w:val="en-US" w:eastAsia="zh-CN"/>
              </w:rPr>
              <w:t>防护用品</w:t>
            </w:r>
            <w:r>
              <w:rPr>
                <w:rFonts w:hint="eastAsia" w:ascii="Times New Roman" w:hAnsi="Times New Roman" w:cs="Times New Roman"/>
                <w:lang w:val="en-US" w:eastAsia="zh-CN"/>
              </w:rPr>
              <w:t>；发放记录显示，发放人、领用人、领用用品名称、数量、时间等均有清晰记载，现场查看车间各岗位工作人员。</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其它环境和职业健康安全策划和管控记录见各部门EO8.1。</w:t>
            </w:r>
          </w:p>
        </w:tc>
        <w:tc>
          <w:tcPr>
            <w:tcW w:w="1134" w:type="dxa"/>
            <w:vAlign w:val="center"/>
          </w:tcPr>
          <w:p>
            <w:pPr>
              <w:jc w:val="left"/>
              <w:rPr>
                <w:rFonts w:hint="default" w:ascii="楷体" w:hAnsi="楷体" w:eastAsia="楷体"/>
                <w:color w:val="FF0000"/>
                <w:sz w:val="24"/>
                <w:szCs w:val="24"/>
                <w:lang w:val="en-US" w:eastAsia="zh-CN"/>
              </w:rPr>
            </w:pPr>
            <w:r>
              <w:rPr>
                <w:rFonts w:hint="eastAsia" w:ascii="楷体" w:hAnsi="楷体" w:eastAsia="楷体"/>
                <w:color w:val="FF000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应急准备和响应</w:t>
            </w:r>
          </w:p>
        </w:tc>
        <w:tc>
          <w:tcPr>
            <w:tcW w:w="1272"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EO8.2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组织制定了《应急准备和响应控制程序》，识别紧急情况如下：1.自然灾害；</w:t>
            </w:r>
            <w:r>
              <w:rPr>
                <w:rFonts w:hint="eastAsia" w:cs="Times New Roman"/>
                <w:lang w:val="en-US" w:eastAsia="zh-CN"/>
              </w:rPr>
              <w:t>2</w:t>
            </w:r>
            <w:r>
              <w:rPr>
                <w:rFonts w:hint="eastAsia" w:ascii="Times New Roman" w:hAnsi="Times New Roman" w:cs="Times New Roman"/>
                <w:lang w:val="en-US" w:eastAsia="zh-CN"/>
              </w:rPr>
              <w:t>.触电；</w:t>
            </w:r>
            <w:r>
              <w:rPr>
                <w:rFonts w:hint="eastAsia" w:cs="Times New Roman"/>
                <w:lang w:val="en-US" w:eastAsia="zh-CN"/>
              </w:rPr>
              <w:t>3.火灾等</w:t>
            </w:r>
            <w:r>
              <w:rPr>
                <w:rFonts w:hint="eastAsia" w:ascii="Times New Roman" w:hAnsi="Times New Roman" w:cs="Times New Roman"/>
                <w:lang w:val="en-US" w:eastAsia="zh-CN"/>
              </w:rPr>
              <w:t>，均规定了相应的应急响应措施，基本覆盖了重要环境因素和重要危险源的内容，符合控制要求，无修订记录。</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抽查202</w:t>
            </w:r>
            <w:r>
              <w:rPr>
                <w:rFonts w:hint="eastAsia" w:cs="Times New Roman"/>
                <w:lang w:val="en-US" w:eastAsia="zh-CN"/>
              </w:rPr>
              <w:t>1</w:t>
            </w:r>
            <w:r>
              <w:rPr>
                <w:rFonts w:hint="eastAsia" w:ascii="Times New Roman" w:hAnsi="Times New Roman" w:cs="Times New Roman"/>
                <w:lang w:val="en-US" w:eastAsia="zh-CN"/>
              </w:rPr>
              <w:t>年</w:t>
            </w:r>
            <w:r>
              <w:rPr>
                <w:rFonts w:hint="eastAsia"/>
                <w:lang w:val="en-US" w:eastAsia="zh-CN"/>
              </w:rPr>
              <w:t>7月23日</w:t>
            </w:r>
            <w:r>
              <w:rPr>
                <w:rFonts w:hint="eastAsia" w:ascii="Times New Roman" w:hAnsi="Times New Roman" w:cs="Times New Roman"/>
                <w:lang w:val="en-US" w:eastAsia="zh-CN"/>
              </w:rPr>
              <w:t>举行的消防演练记录，内容主要包括演练目的、演练记录、演习过程的图片等信息。基本满足应急准备要求。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绩效总则</w:t>
            </w:r>
          </w:p>
          <w:p>
            <w:pPr>
              <w:ind w:firstLine="420" w:firstLineChars="200"/>
              <w:jc w:val="left"/>
              <w:rPr>
                <w:rFonts w:hint="eastAsia" w:ascii="Times New Roman" w:hAnsi="Times New Roman" w:cs="Times New Roman"/>
                <w:lang w:val="en-US" w:eastAsia="zh-CN"/>
              </w:rPr>
            </w:pPr>
          </w:p>
        </w:tc>
        <w:tc>
          <w:tcPr>
            <w:tcW w:w="1272"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QEO9.1.1</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ascii="Times New Roman" w:hAnsi="Times New Roman" w:cs="Times New Roman"/>
                <w:lang w:val="en-US" w:eastAsia="zh-CN"/>
              </w:rPr>
            </w:pPr>
            <w:r>
              <w:rPr>
                <w:rFonts w:hint="eastAsia" w:cs="Times New Roman"/>
                <w:lang w:val="en-US" w:eastAsia="zh-CN"/>
              </w:rPr>
              <w:t>综合部</w:t>
            </w:r>
            <w:r>
              <w:rPr>
                <w:rFonts w:hint="eastAsia" w:ascii="Times New Roman" w:hAnsi="Times New Roman" w:cs="Times New Roman"/>
                <w:lang w:val="en-US" w:eastAsia="zh-CN"/>
              </w:rPr>
              <w:t>对管理体系的过程能力进行监视和测量，主要通过内审对管理体系运行的符合性和有效性进行监测，内审详见</w:t>
            </w:r>
            <w:r>
              <w:rPr>
                <w:rFonts w:hint="eastAsia" w:cs="Times New Roman"/>
                <w:lang w:val="en-US" w:eastAsia="zh-CN"/>
              </w:rPr>
              <w:t>综合部</w:t>
            </w:r>
            <w:r>
              <w:rPr>
                <w:rFonts w:hint="eastAsia" w:ascii="Times New Roman" w:hAnsi="Times New Roman" w:cs="Times New Roman"/>
                <w:lang w:val="en-US" w:eastAsia="zh-CN"/>
              </w:rPr>
              <w:t>审核9.2条款；再通过管理评审对管理体系的充分性、有效性和适宜性作了肯定的评价，详见管理层9.2条款记录；通过目标考评，监测管理体系运行的有效性，详见</w:t>
            </w:r>
            <w:r>
              <w:rPr>
                <w:rFonts w:hint="eastAsia" w:cs="Times New Roman"/>
                <w:lang w:val="en-US" w:eastAsia="zh-CN"/>
              </w:rPr>
              <w:t>综合部</w:t>
            </w:r>
            <w:r>
              <w:rPr>
                <w:rFonts w:hint="eastAsia" w:ascii="Times New Roman" w:hAnsi="Times New Roman" w:cs="Times New Roman"/>
                <w:lang w:val="en-US" w:eastAsia="zh-CN"/>
              </w:rPr>
              <w:t>审核6.2条款。</w:t>
            </w:r>
          </w:p>
        </w:tc>
        <w:tc>
          <w:tcPr>
            <w:tcW w:w="1134" w:type="dxa"/>
          </w:tcPr>
          <w:p>
            <w:pPr>
              <w:rPr>
                <w:rFonts w:hint="default"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合规性评价</w:t>
            </w:r>
          </w:p>
        </w:tc>
        <w:tc>
          <w:tcPr>
            <w:tcW w:w="1272"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EO9.1.2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组织按照《合规性评价控制程序》</w:t>
            </w:r>
            <w:r>
              <w:rPr>
                <w:rFonts w:hint="eastAsia" w:cs="Times New Roman"/>
                <w:lang w:val="en-US" w:eastAsia="zh-CN"/>
              </w:rPr>
              <w:t>、《适用的法律、法规及其他要求控制程序》</w:t>
            </w:r>
            <w:r>
              <w:rPr>
                <w:rFonts w:hint="eastAsia" w:ascii="Times New Roman" w:hAnsi="Times New Roman" w:cs="Times New Roman"/>
                <w:lang w:val="en-US" w:eastAsia="zh-CN"/>
              </w:rPr>
              <w:t>对环境、职业健康安全相关的适用法律法规进行合规性评价。</w:t>
            </w:r>
            <w:r>
              <w:rPr>
                <w:rFonts w:hint="eastAsia" w:cs="Times New Roman"/>
                <w:lang w:val="en-US" w:eastAsia="zh-CN"/>
              </w:rPr>
              <w:t>综合部</w:t>
            </w:r>
            <w:r>
              <w:rPr>
                <w:rFonts w:hint="eastAsia" w:ascii="Times New Roman" w:hAnsi="Times New Roman" w:cs="Times New Roman"/>
                <w:lang w:val="en-US" w:eastAsia="zh-CN"/>
              </w:rPr>
              <w:t>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查看《环境法律法规合规性评价表》，内容包括法律法规名称、适用条款、适用环境因素、合规性评价证据、结论和措施等，截止2021年10月2</w:t>
            </w:r>
            <w:r>
              <w:rPr>
                <w:rFonts w:hint="eastAsia" w:cs="Times New Roman"/>
                <w:lang w:val="en-US" w:eastAsia="zh-CN"/>
              </w:rPr>
              <w:t>0</w:t>
            </w:r>
            <w:r>
              <w:rPr>
                <w:rFonts w:hint="eastAsia" w:ascii="Times New Roman" w:hAnsi="Times New Roman" w:cs="Times New Roman"/>
                <w:lang w:val="en-US" w:eastAsia="zh-CN"/>
              </w:rPr>
              <w:t>日，合规性评价结论均符合要求。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分析与评价</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Q9.1.3</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组织数据包括：产品生产和销售状况、管理体系运行状况、顾客满意管理、供方管理等过程的数据分析。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查自组织管理体系运行以来，已经进行搜集信息和数据的活动：管理目标考核、顾客满意度调查、供方的交付和质量、环境、职业健康安全运行情况等的简单分析。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信息和数据分析、评价情况见各相关过程的审核记录。</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内部审核</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组织根据制定的《内审控制程序》进行内部审核过程控制。提供内审记录，抽查内容如下：</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审核组：丁盛/韩流：签到表显示，总经理、管理者代表、</w:t>
            </w:r>
            <w:r>
              <w:rPr>
                <w:rFonts w:hint="eastAsia" w:cs="Times New Roman"/>
                <w:lang w:val="en-US" w:eastAsia="zh-CN"/>
              </w:rPr>
              <w:t>综合部</w:t>
            </w:r>
            <w:r>
              <w:rPr>
                <w:rFonts w:hint="eastAsia" w:ascii="Times New Roman" w:hAnsi="Times New Roman" w:cs="Times New Roman"/>
                <w:lang w:val="en-US" w:eastAsia="zh-CN"/>
              </w:rPr>
              <w:t>、</w:t>
            </w:r>
            <w:r>
              <w:rPr>
                <w:rFonts w:hint="eastAsia" w:cs="Times New Roman"/>
                <w:lang w:val="en-US" w:eastAsia="zh-CN"/>
              </w:rPr>
              <w:t>供销部</w:t>
            </w:r>
            <w:r>
              <w:rPr>
                <w:rFonts w:hint="eastAsia" w:ascii="Times New Roman" w:hAnsi="Times New Roman" w:cs="Times New Roman"/>
                <w:lang w:val="en-US" w:eastAsia="zh-CN"/>
              </w:rPr>
              <w:t>、财务部各部门参与了内部审核的首末次会议，但未见手签记录；</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查2021年1</w:t>
            </w:r>
            <w:r>
              <w:rPr>
                <w:rFonts w:hint="eastAsia" w:cs="Times New Roman"/>
                <w:lang w:val="en-US" w:eastAsia="zh-CN"/>
              </w:rPr>
              <w:t>2</w:t>
            </w:r>
            <w:r>
              <w:rPr>
                <w:rFonts w:hint="eastAsia" w:ascii="Times New Roman" w:hAnsi="Times New Roman" w:cs="Times New Roman"/>
                <w:lang w:val="en-US" w:eastAsia="zh-CN"/>
              </w:rPr>
              <w:t>月</w:t>
            </w:r>
            <w:r>
              <w:rPr>
                <w:rFonts w:hint="eastAsia" w:cs="Times New Roman"/>
                <w:lang w:val="en-US" w:eastAsia="zh-CN"/>
              </w:rPr>
              <w:t>31</w:t>
            </w:r>
            <w:r>
              <w:rPr>
                <w:rFonts w:hint="eastAsia" w:ascii="Times New Roman" w:hAnsi="Times New Roman" w:cs="Times New Roman"/>
                <w:lang w:val="en-US" w:eastAsia="zh-CN"/>
              </w:rPr>
              <w:t>日制定的内部审核计划，内容包括审核目的、审核范围、审核准则、审核具体日程安排、编制批准等，内容完整，能够满足策划要求。</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提供《内部审核检查表》，内容包括条款号、检查内容、检查记录和结果判定等，记录显示，组织审核组有按照计划要求进行，满足执行要求。</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查《内审不符合报告》</w:t>
            </w:r>
            <w:r>
              <w:rPr>
                <w:rFonts w:hint="eastAsia" w:cs="Times New Roman"/>
                <w:lang w:val="en-US" w:eastAsia="zh-CN"/>
              </w:rPr>
              <w:t>1项</w:t>
            </w:r>
            <w:r>
              <w:rPr>
                <w:rFonts w:hint="eastAsia" w:ascii="Times New Roman" w:hAnsi="Times New Roman" w:cs="Times New Roman"/>
                <w:lang w:val="en-US" w:eastAsia="zh-CN"/>
              </w:rPr>
              <w:t>：查证公司对各部门岗位人员每年度进行一次能力评估，但未能提供有关记录</w:t>
            </w:r>
            <w:r>
              <w:rPr>
                <w:rFonts w:hint="eastAsia" w:cs="Times New Roman"/>
                <w:lang w:val="en-US" w:eastAsia="zh-CN"/>
              </w:rPr>
              <w:t>，</w:t>
            </w:r>
            <w:r>
              <w:rPr>
                <w:rFonts w:hint="eastAsia" w:ascii="Times New Roman" w:hAnsi="Times New Roman" w:cs="Times New Roman"/>
                <w:lang w:val="en-US" w:eastAsia="zh-CN"/>
              </w:rPr>
              <w:t>不符合条款依据正确，且均已完成整改并验证有效，与现场审核发现的情况吻合。</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查《内审报告》中内部审核结论记录如下：本次内审发现</w:t>
            </w:r>
            <w:r>
              <w:rPr>
                <w:rFonts w:hint="eastAsia" w:cs="Times New Roman"/>
                <w:lang w:val="en-US" w:eastAsia="zh-CN"/>
              </w:rPr>
              <w:t>1</w:t>
            </w:r>
            <w:r>
              <w:rPr>
                <w:rFonts w:hint="eastAsia" w:ascii="Times New Roman" w:hAnsi="Times New Roman" w:cs="Times New Roman"/>
                <w:lang w:val="en-US" w:eastAsia="zh-CN"/>
              </w:rPr>
              <w:t>个一般不符合项，属一般不符合，总体结论：管理体系适宜、充分、有效。</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综上，组织的内部审核控制基本有效。</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不合格和纠正措施</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QEO10.2</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lang w:val="en-US" w:eastAsia="zh-CN"/>
              </w:rPr>
            </w:pPr>
            <w:r>
              <w:rPr>
                <w:rFonts w:hint="eastAsia"/>
                <w:lang w:val="en-US" w:eastAsia="zh-CN"/>
              </w:rPr>
              <w:t>综合部负责人何亚洲介绍：组织在运行过程中对发现的不合格都会采取纠正措施，分析原因，举一反三地看待其他部门或类似过程，采取预防措施以防止发生不合格或不符合。</w:t>
            </w:r>
          </w:p>
          <w:p>
            <w:pPr>
              <w:ind w:firstLine="420" w:firstLineChars="200"/>
              <w:jc w:val="left"/>
              <w:rPr>
                <w:rFonts w:hint="eastAsia"/>
                <w:lang w:val="en-US" w:eastAsia="zh-CN"/>
              </w:rPr>
            </w:pPr>
            <w:r>
              <w:rPr>
                <w:rFonts w:hint="eastAsia"/>
                <w:lang w:val="en-US" w:eastAsia="zh-CN"/>
              </w:rPr>
              <w:t>组织内审时发现的不符合项进行的原因分析、纠正措施和验证均能满足改进要求。组织内审时未发现综合部有不符合及其整改记录，其它纠正措施记录见市场部、质检部和生产部QEO10.2。</w:t>
            </w:r>
          </w:p>
          <w:p>
            <w:pPr>
              <w:bidi w:val="0"/>
              <w:rPr>
                <w:rFonts w:hint="default"/>
                <w:lang w:val="en-US" w:eastAsia="zh-CN"/>
              </w:rPr>
            </w:pPr>
            <w:r>
              <w:rPr>
                <w:rFonts w:hint="eastAsia"/>
                <w:lang w:val="en-US" w:eastAsia="zh-CN"/>
              </w:rPr>
              <w:t xml:space="preserve">    组织外审的不符合及其纠正措施记录见此次审核的不符合报告记录。</w:t>
            </w:r>
          </w:p>
        </w:tc>
        <w:tc>
          <w:tcPr>
            <w:tcW w:w="1134" w:type="dxa"/>
          </w:tcPr>
          <w:p>
            <w:pPr>
              <w:rPr>
                <w:rFonts w:ascii="楷体" w:hAnsi="楷体" w:eastAsia="楷体"/>
                <w:color w:val="FF0000"/>
                <w:sz w:val="24"/>
                <w:szCs w:val="24"/>
              </w:rPr>
            </w:pPr>
          </w:p>
        </w:tc>
      </w:tr>
    </w:tbl>
    <w:p>
      <w:pPr>
        <w:rPr>
          <w:rFonts w:ascii="楷体" w:hAnsi="楷体" w:eastAsia="楷体"/>
          <w:color w:val="FF0000"/>
          <w:sz w:val="24"/>
          <w:szCs w:val="24"/>
        </w:rPr>
      </w:pPr>
      <w:r>
        <w:rPr>
          <w:rFonts w:ascii="楷体" w:hAnsi="楷体" w:eastAsia="楷体"/>
          <w:color w:val="FF0000"/>
          <w:sz w:val="24"/>
          <w:szCs w:val="24"/>
        </w:rPr>
        <w:ptab w:relativeTo="margin" w:alignment="center" w:leader="none"/>
      </w:r>
    </w:p>
    <w:p>
      <w:pPr>
        <w:pStyle w:val="8"/>
        <w:rPr>
          <w:rFonts w:hint="eastAsia" w:ascii="楷体" w:hAnsi="楷体" w:eastAsia="楷体"/>
          <w:sz w:val="24"/>
          <w:szCs w:val="24"/>
          <w:lang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p>
      <w:pPr>
        <w:rPr>
          <w:rFonts w:ascii="楷体" w:hAnsi="楷体" w:eastAsia="楷体"/>
        </w:rPr>
      </w:pPr>
      <w:r>
        <w:rPr>
          <w:rFonts w:ascii="楷体" w:hAnsi="楷体" w:eastAsia="楷体"/>
        </w:rP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宋?">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8990B"/>
    <w:multiLevelType w:val="singleLevel"/>
    <w:tmpl w:val="D628990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657075"/>
    <w:rsid w:val="03B05DD2"/>
    <w:rsid w:val="04975E7B"/>
    <w:rsid w:val="052B23E6"/>
    <w:rsid w:val="05483AD3"/>
    <w:rsid w:val="05F95B1B"/>
    <w:rsid w:val="061137A1"/>
    <w:rsid w:val="07247D46"/>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104F40E4"/>
    <w:rsid w:val="108219C2"/>
    <w:rsid w:val="120410B5"/>
    <w:rsid w:val="12563740"/>
    <w:rsid w:val="154B63E3"/>
    <w:rsid w:val="15C96FDF"/>
    <w:rsid w:val="15E74CB1"/>
    <w:rsid w:val="15FE473B"/>
    <w:rsid w:val="16390CF7"/>
    <w:rsid w:val="16EA49EA"/>
    <w:rsid w:val="18D4070E"/>
    <w:rsid w:val="194574E2"/>
    <w:rsid w:val="198B71C0"/>
    <w:rsid w:val="19D770FB"/>
    <w:rsid w:val="1A5C1888"/>
    <w:rsid w:val="1AD81C90"/>
    <w:rsid w:val="1B5D7D5F"/>
    <w:rsid w:val="1B777320"/>
    <w:rsid w:val="1C42303D"/>
    <w:rsid w:val="1C9B31A0"/>
    <w:rsid w:val="1D807E56"/>
    <w:rsid w:val="1DAA77A7"/>
    <w:rsid w:val="1DC8247E"/>
    <w:rsid w:val="1E5344F9"/>
    <w:rsid w:val="1F4C5B16"/>
    <w:rsid w:val="1F6E4C84"/>
    <w:rsid w:val="1F996119"/>
    <w:rsid w:val="1FBC708E"/>
    <w:rsid w:val="201E1C07"/>
    <w:rsid w:val="2171736E"/>
    <w:rsid w:val="22C27589"/>
    <w:rsid w:val="22DA67A0"/>
    <w:rsid w:val="231B7E62"/>
    <w:rsid w:val="23646952"/>
    <w:rsid w:val="24114171"/>
    <w:rsid w:val="243702D0"/>
    <w:rsid w:val="261E6BA2"/>
    <w:rsid w:val="26226166"/>
    <w:rsid w:val="26656CB7"/>
    <w:rsid w:val="27764507"/>
    <w:rsid w:val="27A46C23"/>
    <w:rsid w:val="28494E93"/>
    <w:rsid w:val="2A067935"/>
    <w:rsid w:val="2A731D21"/>
    <w:rsid w:val="2A904FAE"/>
    <w:rsid w:val="2AAF76B8"/>
    <w:rsid w:val="2AED0609"/>
    <w:rsid w:val="2AFC4894"/>
    <w:rsid w:val="2BF3446C"/>
    <w:rsid w:val="2C0F23A5"/>
    <w:rsid w:val="2D1E5BDE"/>
    <w:rsid w:val="2D202ABC"/>
    <w:rsid w:val="30A925BF"/>
    <w:rsid w:val="30D1169A"/>
    <w:rsid w:val="313660F3"/>
    <w:rsid w:val="31A64B75"/>
    <w:rsid w:val="321F6EB1"/>
    <w:rsid w:val="32DA1B9A"/>
    <w:rsid w:val="32EE73AD"/>
    <w:rsid w:val="33510E6D"/>
    <w:rsid w:val="33600675"/>
    <w:rsid w:val="356857B7"/>
    <w:rsid w:val="362C0724"/>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E26C61"/>
    <w:rsid w:val="442059FF"/>
    <w:rsid w:val="448E28BE"/>
    <w:rsid w:val="453716C0"/>
    <w:rsid w:val="4670316E"/>
    <w:rsid w:val="46FC4B66"/>
    <w:rsid w:val="47421B61"/>
    <w:rsid w:val="47481C65"/>
    <w:rsid w:val="478C44AF"/>
    <w:rsid w:val="47C85858"/>
    <w:rsid w:val="47D93B88"/>
    <w:rsid w:val="49B33B03"/>
    <w:rsid w:val="4A647FF2"/>
    <w:rsid w:val="4A830AC5"/>
    <w:rsid w:val="4C4F6AC2"/>
    <w:rsid w:val="4D68038A"/>
    <w:rsid w:val="4D7F735C"/>
    <w:rsid w:val="4DC51F87"/>
    <w:rsid w:val="4EBD565D"/>
    <w:rsid w:val="4F3972CB"/>
    <w:rsid w:val="4FF0324F"/>
    <w:rsid w:val="500F2621"/>
    <w:rsid w:val="50154C45"/>
    <w:rsid w:val="50377F99"/>
    <w:rsid w:val="512A5B18"/>
    <w:rsid w:val="516E1798"/>
    <w:rsid w:val="52963C65"/>
    <w:rsid w:val="530E4AC4"/>
    <w:rsid w:val="53861634"/>
    <w:rsid w:val="53966D85"/>
    <w:rsid w:val="54290122"/>
    <w:rsid w:val="542D0BF9"/>
    <w:rsid w:val="54327F61"/>
    <w:rsid w:val="56460F02"/>
    <w:rsid w:val="56542BED"/>
    <w:rsid w:val="567F4699"/>
    <w:rsid w:val="56910EF7"/>
    <w:rsid w:val="577E1B28"/>
    <w:rsid w:val="57D12048"/>
    <w:rsid w:val="58092875"/>
    <w:rsid w:val="583F5B32"/>
    <w:rsid w:val="587753D7"/>
    <w:rsid w:val="591B3840"/>
    <w:rsid w:val="5936505F"/>
    <w:rsid w:val="59535F02"/>
    <w:rsid w:val="596F610E"/>
    <w:rsid w:val="5D186A5C"/>
    <w:rsid w:val="5EA12B9A"/>
    <w:rsid w:val="5EC61592"/>
    <w:rsid w:val="6024544B"/>
    <w:rsid w:val="60766BA9"/>
    <w:rsid w:val="60FD418F"/>
    <w:rsid w:val="616930CE"/>
    <w:rsid w:val="61694DA6"/>
    <w:rsid w:val="61D90FCD"/>
    <w:rsid w:val="625C4267"/>
    <w:rsid w:val="62701F28"/>
    <w:rsid w:val="62F41C7A"/>
    <w:rsid w:val="6374344C"/>
    <w:rsid w:val="63B65B26"/>
    <w:rsid w:val="64542FE8"/>
    <w:rsid w:val="661D61B9"/>
    <w:rsid w:val="68D47E36"/>
    <w:rsid w:val="69090A9E"/>
    <w:rsid w:val="6A2B4273"/>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35433"/>
    <w:rsid w:val="71FE51BE"/>
    <w:rsid w:val="72786FBF"/>
    <w:rsid w:val="72DB435C"/>
    <w:rsid w:val="72EA1F3A"/>
    <w:rsid w:val="73A1682D"/>
    <w:rsid w:val="73E14564"/>
    <w:rsid w:val="74285A1A"/>
    <w:rsid w:val="74370371"/>
    <w:rsid w:val="74DB24E3"/>
    <w:rsid w:val="74DC0BDB"/>
    <w:rsid w:val="74FF6217"/>
    <w:rsid w:val="75CD1CA7"/>
    <w:rsid w:val="75FF5579"/>
    <w:rsid w:val="79314CD6"/>
    <w:rsid w:val="7A3B334A"/>
    <w:rsid w:val="7BF1538F"/>
    <w:rsid w:val="7C4F6B44"/>
    <w:rsid w:val="7F1F4828"/>
    <w:rsid w:val="7F363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Plain Text"/>
    <w:basedOn w:val="1"/>
    <w:link w:val="24"/>
    <w:qFormat/>
    <w:uiPriority w:val="0"/>
    <w:rPr>
      <w:rFonts w:ascii="宋体" w:hAnsi="Courier New"/>
    </w:r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5"/>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页眉 Char"/>
    <w:basedOn w:val="13"/>
    <w:link w:val="9"/>
    <w:qFormat/>
    <w:uiPriority w:val="0"/>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3"/>
    <w:qFormat/>
    <w:uiPriority w:val="0"/>
    <w:rPr>
      <w:rFonts w:hint="eastAsia" w:ascii="宋体" w:hAnsi="宋体" w:eastAsia="宋体"/>
      <w:color w:val="000000"/>
      <w:sz w:val="24"/>
      <w:szCs w:val="24"/>
    </w:rPr>
  </w:style>
  <w:style w:type="character" w:customStyle="1" w:styleId="20">
    <w:name w:val="fontstyle21"/>
    <w:basedOn w:val="13"/>
    <w:qFormat/>
    <w:uiPriority w:val="0"/>
    <w:rPr>
      <w:rFonts w:hint="default" w:ascii="Times New Roman" w:hAnsi="Times New Roman" w:cs="Times New Roman"/>
      <w:color w:val="000000"/>
      <w:sz w:val="24"/>
      <w:szCs w:val="24"/>
    </w:rPr>
  </w:style>
  <w:style w:type="character" w:customStyle="1" w:styleId="21">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3"/>
    <w:link w:val="2"/>
    <w:qFormat/>
    <w:uiPriority w:val="99"/>
    <w:rPr>
      <w:rFonts w:ascii="Times New Roman" w:hAnsi="Times New Roman" w:eastAsia="宋体" w:cs="Times New Roman"/>
      <w:kern w:val="2"/>
      <w:sz w:val="24"/>
    </w:rPr>
  </w:style>
  <w:style w:type="paragraph" w:customStyle="1" w:styleId="23">
    <w:name w:val="表格文字"/>
    <w:basedOn w:val="1"/>
    <w:qFormat/>
    <w:uiPriority w:val="0"/>
    <w:pPr>
      <w:spacing w:before="25" w:after="25"/>
    </w:pPr>
    <w:rPr>
      <w:bCs/>
      <w:spacing w:val="10"/>
    </w:rPr>
  </w:style>
  <w:style w:type="character" w:customStyle="1" w:styleId="24">
    <w:name w:val="纯文本 Char"/>
    <w:basedOn w:val="13"/>
    <w:link w:val="6"/>
    <w:qFormat/>
    <w:uiPriority w:val="0"/>
    <w:rPr>
      <w:rFonts w:ascii="宋体" w:hAnsi="Courier New" w:eastAsia="宋体" w:cs="Times New Roman"/>
      <w:kern w:val="2"/>
      <w:sz w:val="21"/>
    </w:rPr>
  </w:style>
  <w:style w:type="character" w:customStyle="1" w:styleId="25">
    <w:name w:val="标题 Char"/>
    <w:basedOn w:val="13"/>
    <w:link w:val="10"/>
    <w:qFormat/>
    <w:uiPriority w:val="0"/>
    <w:rPr>
      <w:rFonts w:ascii="Book Antiqua" w:hAnsi="Book Antiqua" w:eastAsia="宋体" w:cs="Times New Roman"/>
      <w:b/>
      <w:sz w:val="31"/>
      <w:szCs w:val="31"/>
      <w:u w:val="single"/>
      <w:lang w:eastAsia="en-US"/>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629</Words>
  <Characters>3590</Characters>
  <Lines>29</Lines>
  <Paragraphs>8</Paragraphs>
  <TotalTime>1</TotalTime>
  <ScaleCrop>false</ScaleCrop>
  <LinksUpToDate>false</LinksUpToDate>
  <CharactersWithSpaces>4211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2022-03-17T07:47:55Z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30BC6D8ECF9F4EFE95069C4AD9D59F71</vt:lpwstr>
  </property>
</Properties>
</file>