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55"/>
        <w:gridCol w:w="116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jc w:val="center"/>
              <w:rPr>
                <w:rFonts w:hint="eastAsia" w:ascii="等线" w:hAnsi="等线" w:eastAsia="等线" w:cs="等线"/>
                <w:sz w:val="21"/>
                <w:szCs w:val="21"/>
              </w:rPr>
            </w:pPr>
            <w:r>
              <w:rPr>
                <w:rFonts w:hint="eastAsia" w:ascii="等线" w:hAnsi="等线" w:eastAsia="等线" w:cs="等线"/>
                <w:sz w:val="21"/>
                <w:szCs w:val="21"/>
              </w:rPr>
              <w:t>过程与活动、</w:t>
            </w:r>
          </w:p>
          <w:p>
            <w:pPr>
              <w:jc w:val="center"/>
              <w:rPr>
                <w:rFonts w:hint="eastAsia" w:ascii="等线" w:hAnsi="等线" w:eastAsia="等线" w:cs="等线"/>
                <w:sz w:val="21"/>
                <w:szCs w:val="21"/>
              </w:rPr>
            </w:pPr>
            <w:r>
              <w:rPr>
                <w:rFonts w:hint="eastAsia" w:ascii="等线" w:hAnsi="等线" w:eastAsia="等线" w:cs="等线"/>
                <w:sz w:val="21"/>
                <w:szCs w:val="21"/>
              </w:rPr>
              <w:t>抽样计划</w:t>
            </w:r>
          </w:p>
        </w:tc>
        <w:tc>
          <w:tcPr>
            <w:tcW w:w="955" w:type="dxa"/>
            <w:vMerge w:val="restart"/>
            <w:vAlign w:val="center"/>
          </w:tcPr>
          <w:p>
            <w:pPr>
              <w:rPr>
                <w:rFonts w:hint="eastAsia" w:ascii="等线" w:hAnsi="等线" w:eastAsia="等线" w:cs="等线"/>
                <w:sz w:val="21"/>
                <w:szCs w:val="21"/>
              </w:rPr>
            </w:pPr>
            <w:r>
              <w:rPr>
                <w:rFonts w:hint="eastAsia" w:ascii="等线" w:hAnsi="等线" w:eastAsia="等线" w:cs="等线"/>
                <w:sz w:val="21"/>
                <w:szCs w:val="21"/>
              </w:rPr>
              <w:t>涉及</w:t>
            </w:r>
          </w:p>
          <w:p>
            <w:pPr>
              <w:rPr>
                <w:rFonts w:hint="eastAsia" w:ascii="等线" w:hAnsi="等线" w:eastAsia="等线" w:cs="等线"/>
                <w:sz w:val="21"/>
                <w:szCs w:val="21"/>
              </w:rPr>
            </w:pPr>
            <w:r>
              <w:rPr>
                <w:rFonts w:hint="eastAsia" w:ascii="等线" w:hAnsi="等线" w:eastAsia="等线" w:cs="等线"/>
                <w:sz w:val="21"/>
                <w:szCs w:val="21"/>
              </w:rPr>
              <w:t>条款</w:t>
            </w:r>
          </w:p>
        </w:tc>
        <w:tc>
          <w:tcPr>
            <w:tcW w:w="11661" w:type="dxa"/>
            <w:vAlign w:val="center"/>
          </w:tcPr>
          <w:p>
            <w:pPr>
              <w:rPr>
                <w:rFonts w:hint="default" w:ascii="等线" w:hAnsi="等线" w:eastAsia="等线" w:cs="等线"/>
                <w:sz w:val="21"/>
                <w:szCs w:val="21"/>
                <w:lang w:val="en-US" w:eastAsia="zh-CN"/>
              </w:rPr>
            </w:pPr>
            <w:r>
              <w:rPr>
                <w:rFonts w:hint="eastAsia" w:ascii="等线" w:hAnsi="等线" w:eastAsia="等线" w:cs="等线"/>
                <w:sz w:val="21"/>
                <w:szCs w:val="21"/>
              </w:rPr>
              <w:t>受审核部门：管理</w:t>
            </w:r>
            <w:r>
              <w:rPr>
                <w:rFonts w:hint="eastAsia" w:ascii="等线" w:hAnsi="等线" w:eastAsia="等线" w:cs="等线"/>
                <w:sz w:val="21"/>
                <w:szCs w:val="21"/>
                <w:lang w:val="en-US" w:eastAsia="zh-CN"/>
              </w:rPr>
              <w:t>层</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 xml:space="preserve">               </w:t>
            </w:r>
            <w:r>
              <w:rPr>
                <w:rFonts w:hint="eastAsia" w:ascii="等线" w:hAnsi="等线" w:eastAsia="等线" w:cs="等线"/>
                <w:sz w:val="21"/>
                <w:szCs w:val="21"/>
              </w:rPr>
              <w:t>主管领导/陪同人员</w:t>
            </w:r>
            <w:r>
              <w:rPr>
                <w:rFonts w:hint="eastAsia" w:ascii="等线" w:hAnsi="等线" w:eastAsia="等线" w:cs="等线"/>
                <w:sz w:val="21"/>
                <w:szCs w:val="21"/>
                <w:lang w:eastAsia="zh-CN"/>
              </w:rPr>
              <w:t>：</w:t>
            </w:r>
            <w:bookmarkStart w:id="0" w:name="联系人"/>
            <w:r>
              <w:rPr>
                <w:sz w:val="21"/>
                <w:szCs w:val="21"/>
              </w:rPr>
              <w:t>吕方平</w:t>
            </w:r>
            <w:bookmarkEnd w:id="0"/>
            <w:r>
              <w:rPr>
                <w:rFonts w:hint="eastAsia" w:ascii="等线" w:hAnsi="等线" w:eastAsia="等线" w:cs="等线"/>
                <w:sz w:val="21"/>
                <w:szCs w:val="21"/>
                <w:lang w:val="en-US" w:eastAsia="zh-CN"/>
              </w:rPr>
              <w:t>/徐艺</w:t>
            </w:r>
          </w:p>
        </w:tc>
        <w:tc>
          <w:tcPr>
            <w:tcW w:w="851" w:type="dxa"/>
            <w:vMerge w:val="restart"/>
            <w:vAlign w:val="center"/>
          </w:tcPr>
          <w:p>
            <w:pPr>
              <w:rPr>
                <w:rFonts w:ascii="华文楷体" w:hAnsi="华文楷体" w:eastAsia="华文楷体"/>
                <w:sz w:val="24"/>
                <w:szCs w:val="24"/>
              </w:rPr>
            </w:pPr>
            <w:r>
              <w:rPr>
                <w:rFonts w:hint="eastAsia" w:ascii="华文楷体" w:hAnsi="华文楷体" w:eastAsia="华文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rPr>
                <w:rFonts w:hint="eastAsia" w:ascii="等线" w:hAnsi="等线" w:eastAsia="等线" w:cs="等线"/>
                <w:sz w:val="21"/>
                <w:szCs w:val="21"/>
              </w:rPr>
            </w:pPr>
          </w:p>
        </w:tc>
        <w:tc>
          <w:tcPr>
            <w:tcW w:w="955" w:type="dxa"/>
            <w:vMerge w:val="continue"/>
            <w:vAlign w:val="center"/>
          </w:tcPr>
          <w:p>
            <w:pPr>
              <w:rPr>
                <w:rFonts w:hint="eastAsia" w:ascii="等线" w:hAnsi="等线" w:eastAsia="等线" w:cs="等线"/>
                <w:sz w:val="21"/>
                <w:szCs w:val="21"/>
              </w:rPr>
            </w:pPr>
          </w:p>
        </w:tc>
        <w:tc>
          <w:tcPr>
            <w:tcW w:w="11661" w:type="dxa"/>
            <w:vAlign w:val="center"/>
          </w:tcPr>
          <w:p>
            <w:pPr>
              <w:spacing w:before="120"/>
              <w:rPr>
                <w:rFonts w:hint="eastAsia" w:ascii="等线" w:hAnsi="等线" w:eastAsia="等线" w:cs="等线"/>
                <w:sz w:val="21"/>
                <w:szCs w:val="21"/>
                <w:lang w:val="en-US" w:eastAsia="zh-CN"/>
              </w:rPr>
            </w:pPr>
            <w:r>
              <w:rPr>
                <w:rFonts w:hint="eastAsia" w:ascii="等线" w:hAnsi="等线" w:eastAsia="等线" w:cs="等线"/>
                <w:sz w:val="21"/>
                <w:szCs w:val="21"/>
              </w:rPr>
              <w:t>审核员：</w:t>
            </w:r>
            <w:r>
              <w:rPr>
                <w:rFonts w:hint="eastAsia" w:ascii="等线" w:hAnsi="等线" w:eastAsia="等线" w:cs="等线"/>
                <w:sz w:val="21"/>
                <w:szCs w:val="21"/>
                <w:lang w:val="en-US" w:eastAsia="zh-CN"/>
              </w:rPr>
              <w:t xml:space="preserve">张磊                       </w:t>
            </w:r>
            <w:r>
              <w:rPr>
                <w:rFonts w:hint="eastAsia" w:ascii="等线" w:hAnsi="等线" w:eastAsia="等线" w:cs="等线"/>
                <w:sz w:val="21"/>
                <w:szCs w:val="21"/>
              </w:rPr>
              <w:t>审核时间：</w:t>
            </w:r>
            <w:r>
              <w:rPr>
                <w:rFonts w:hint="eastAsia" w:ascii="等线" w:hAnsi="等线" w:eastAsia="等线" w:cs="等线"/>
                <w:sz w:val="21"/>
                <w:szCs w:val="21"/>
                <w:lang w:val="en-US" w:eastAsia="zh-CN"/>
              </w:rPr>
              <w:t>2022.3.14</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242" w:type="dxa"/>
            <w:vMerge w:val="continue"/>
            <w:vAlign w:val="center"/>
          </w:tcPr>
          <w:p>
            <w:pPr>
              <w:rPr>
                <w:rFonts w:hint="eastAsia" w:ascii="等线" w:hAnsi="等线" w:eastAsia="等线" w:cs="等线"/>
                <w:color w:val="FF0000"/>
                <w:sz w:val="21"/>
                <w:szCs w:val="21"/>
              </w:rPr>
            </w:pPr>
          </w:p>
        </w:tc>
        <w:tc>
          <w:tcPr>
            <w:tcW w:w="955" w:type="dxa"/>
            <w:vMerge w:val="continue"/>
            <w:vAlign w:val="center"/>
          </w:tcPr>
          <w:p>
            <w:pPr>
              <w:rPr>
                <w:rFonts w:hint="eastAsia" w:ascii="等线" w:hAnsi="等线" w:eastAsia="等线" w:cs="等线"/>
                <w:color w:val="FF0000"/>
                <w:sz w:val="21"/>
                <w:szCs w:val="21"/>
              </w:rPr>
            </w:pPr>
          </w:p>
        </w:tc>
        <w:tc>
          <w:tcPr>
            <w:tcW w:w="11661" w:type="dxa"/>
            <w:vAlign w:val="center"/>
          </w:tcPr>
          <w:p>
            <w:pPr>
              <w:adjustRightInd w:val="0"/>
              <w:snapToGrid w:val="0"/>
              <w:ind w:right="105" w:rightChars="50"/>
              <w:textAlignment w:val="baseline"/>
              <w:rPr>
                <w:rFonts w:hint="eastAsia" w:ascii="等线" w:hAnsi="等线" w:eastAsia="等线" w:cs="等线"/>
                <w:spacing w:val="-6"/>
                <w:sz w:val="21"/>
                <w:szCs w:val="21"/>
              </w:rPr>
            </w:pPr>
            <w:r>
              <w:rPr>
                <w:rFonts w:hint="eastAsia" w:ascii="等线" w:hAnsi="等线" w:eastAsia="等线" w:cs="等线"/>
                <w:spacing w:val="-6"/>
                <w:sz w:val="21"/>
                <w:szCs w:val="21"/>
              </w:rPr>
              <w:t>QEO</w:t>
            </w:r>
            <w:r>
              <w:rPr>
                <w:rFonts w:hint="eastAsia" w:ascii="等线" w:hAnsi="等线" w:eastAsia="等线" w:cs="等线"/>
                <w:spacing w:val="-6"/>
                <w:sz w:val="21"/>
                <w:szCs w:val="21"/>
                <w:lang w:eastAsia="zh-CN"/>
              </w:rPr>
              <w:t>：</w:t>
            </w:r>
            <w:r>
              <w:rPr>
                <w:rFonts w:hint="eastAsia" w:ascii="等线" w:hAnsi="等线" w:eastAsia="等线" w:cs="等线"/>
                <w:spacing w:val="-6"/>
                <w:sz w:val="21"/>
                <w:szCs w:val="21"/>
              </w:rPr>
              <w:t>4.1理解组织及其环境、4.2理解相关方的需求和期望、4.3 确定管理体系的范围、4.4质量/环境/</w:t>
            </w:r>
            <w:r>
              <w:rPr>
                <w:rFonts w:hint="eastAsia" w:ascii="等线" w:hAnsi="等线" w:eastAsia="等线" w:cs="等线"/>
                <w:sz w:val="21"/>
                <w:szCs w:val="21"/>
              </w:rPr>
              <w:t>职业健康</w:t>
            </w:r>
            <w:r>
              <w:rPr>
                <w:rFonts w:hint="eastAsia" w:ascii="等线" w:hAnsi="等线" w:eastAsia="等线" w:cs="等线"/>
                <w:spacing w:val="-6"/>
                <w:sz w:val="21"/>
                <w:szCs w:val="21"/>
              </w:rPr>
              <w:t>安全管理体系及其过程、5.1领导作用和承诺、5.2质量/环境/</w:t>
            </w:r>
            <w:r>
              <w:rPr>
                <w:rFonts w:hint="eastAsia" w:ascii="等线" w:hAnsi="等线" w:eastAsia="等线" w:cs="等线"/>
                <w:sz w:val="21"/>
                <w:szCs w:val="21"/>
              </w:rPr>
              <w:t>职业健康</w:t>
            </w:r>
            <w:r>
              <w:rPr>
                <w:rFonts w:hint="eastAsia" w:ascii="等线" w:hAnsi="等线" w:eastAsia="等线" w:cs="等线"/>
                <w:spacing w:val="-6"/>
                <w:sz w:val="21"/>
                <w:szCs w:val="21"/>
              </w:rPr>
              <w:t>安全方针、5.3组织的岗位、职责和权限、5.4协商与参与</w:t>
            </w:r>
            <w:r>
              <w:rPr>
                <w:rFonts w:hint="eastAsia" w:ascii="等线" w:hAnsi="等线" w:eastAsia="等线" w:cs="等线"/>
                <w:spacing w:val="-6"/>
                <w:sz w:val="21"/>
                <w:szCs w:val="21"/>
                <w:lang w:eastAsia="zh-CN"/>
              </w:rPr>
              <w:t>（</w:t>
            </w:r>
            <w:r>
              <w:rPr>
                <w:rFonts w:hint="eastAsia" w:ascii="等线" w:hAnsi="等线" w:eastAsia="等线" w:cs="等线"/>
                <w:spacing w:val="-6"/>
                <w:sz w:val="21"/>
                <w:szCs w:val="21"/>
                <w:lang w:val="en-US" w:eastAsia="zh-CN"/>
              </w:rPr>
              <w:t>O</w:t>
            </w:r>
            <w:r>
              <w:rPr>
                <w:rFonts w:hint="eastAsia" w:ascii="等线" w:hAnsi="等线" w:eastAsia="等线" w:cs="等线"/>
                <w:spacing w:val="-6"/>
                <w:sz w:val="21"/>
                <w:szCs w:val="21"/>
                <w:lang w:eastAsia="zh-CN"/>
              </w:rPr>
              <w:t>）</w:t>
            </w:r>
            <w:r>
              <w:rPr>
                <w:rFonts w:hint="eastAsia" w:ascii="等线" w:hAnsi="等线" w:eastAsia="等线" w:cs="等线"/>
                <w:spacing w:val="-6"/>
                <w:sz w:val="21"/>
                <w:szCs w:val="21"/>
              </w:rPr>
              <w:t>、6.1应对风险和机遇的措施</w:t>
            </w:r>
            <w:r>
              <w:rPr>
                <w:rFonts w:hint="eastAsia" w:ascii="等线" w:hAnsi="等线" w:eastAsia="等线" w:cs="等线"/>
                <w:spacing w:val="-6"/>
                <w:sz w:val="21"/>
                <w:szCs w:val="21"/>
                <w:lang w:val="en-US" w:eastAsia="zh-CN"/>
              </w:rPr>
              <w:t>策划（EO6.1.1、6.1.4）</w:t>
            </w:r>
            <w:r>
              <w:rPr>
                <w:rFonts w:hint="eastAsia" w:ascii="等线" w:hAnsi="等线" w:eastAsia="等线" w:cs="等线"/>
                <w:spacing w:val="-6"/>
                <w:sz w:val="21"/>
                <w:szCs w:val="21"/>
              </w:rPr>
              <w:t>、6.2质量/环境/</w:t>
            </w:r>
            <w:r>
              <w:rPr>
                <w:rFonts w:hint="eastAsia" w:ascii="等线" w:hAnsi="等线" w:eastAsia="等线" w:cs="等线"/>
                <w:sz w:val="21"/>
                <w:szCs w:val="21"/>
              </w:rPr>
              <w:t>职业健康</w:t>
            </w:r>
            <w:r>
              <w:rPr>
                <w:rFonts w:hint="eastAsia" w:ascii="等线" w:hAnsi="等线" w:eastAsia="等线" w:cs="等线"/>
                <w:spacing w:val="-6"/>
                <w:sz w:val="21"/>
                <w:szCs w:val="21"/>
              </w:rPr>
              <w:t>安全目标及其实现的策划、Q6.3变更的策划、7.1.1（EO7.1）资源总则、7.4沟通/信息交流、9.3管理评审、10.1改进</w:t>
            </w:r>
            <w:r>
              <w:rPr>
                <w:rFonts w:hint="eastAsia" w:ascii="等线" w:hAnsi="等线" w:eastAsia="等线" w:cs="等线"/>
                <w:spacing w:val="-6"/>
                <w:sz w:val="21"/>
                <w:szCs w:val="21"/>
                <w:lang w:val="en-US" w:eastAsia="zh-CN"/>
              </w:rPr>
              <w:t>总则</w:t>
            </w:r>
            <w:r>
              <w:rPr>
                <w:rFonts w:hint="eastAsia" w:ascii="等线" w:hAnsi="等线" w:eastAsia="等线" w:cs="等线"/>
                <w:spacing w:val="-6"/>
                <w:sz w:val="21"/>
                <w:szCs w:val="21"/>
              </w:rPr>
              <w:t>、10.3持续改进</w:t>
            </w:r>
          </w:p>
          <w:p>
            <w:pPr>
              <w:adjustRightInd w:val="0"/>
              <w:snapToGrid w:val="0"/>
              <w:ind w:right="105" w:rightChars="50"/>
              <w:textAlignment w:val="baseline"/>
              <w:rPr>
                <w:rFonts w:hint="eastAsia" w:ascii="等线" w:hAnsi="等线" w:eastAsia="等线" w:cs="等线"/>
                <w:color w:val="FF0000"/>
                <w:spacing w:val="-6"/>
                <w:sz w:val="21"/>
                <w:szCs w:val="21"/>
              </w:rPr>
            </w:pPr>
            <w:r>
              <w:rPr>
                <w:rFonts w:hint="eastAsia" w:ascii="等线" w:hAnsi="等线" w:eastAsia="等线" w:cs="等线"/>
                <w:spacing w:val="-6"/>
                <w:sz w:val="21"/>
                <w:szCs w:val="21"/>
              </w:rPr>
              <w:t>验证企业相关资质证明的有效性；国家/地方监督抽查情况；相关方投诉及处理情况；</w:t>
            </w:r>
            <w:r>
              <w:rPr>
                <w:rFonts w:hint="eastAsia" w:ascii="等线" w:hAnsi="等线" w:eastAsia="等线" w:cs="等线"/>
                <w:spacing w:val="-6"/>
                <w:sz w:val="21"/>
                <w:szCs w:val="21"/>
                <w:lang w:val="en-US" w:eastAsia="zh-CN"/>
              </w:rPr>
              <w:t>初审</w:t>
            </w:r>
            <w:r>
              <w:rPr>
                <w:rFonts w:hint="eastAsia" w:ascii="等线" w:hAnsi="等线" w:eastAsia="等线" w:cs="等线"/>
                <w:spacing w:val="-6"/>
                <w:sz w:val="21"/>
                <w:szCs w:val="21"/>
              </w:rPr>
              <w:t>阶段问题验证</w:t>
            </w:r>
            <w:r>
              <w:rPr>
                <w:rFonts w:hint="eastAsia" w:ascii="等线" w:hAnsi="等线" w:eastAsia="等线" w:cs="等线"/>
                <w:spacing w:val="-6"/>
                <w:sz w:val="21"/>
                <w:szCs w:val="21"/>
                <w:lang w:eastAsia="zh-CN"/>
              </w:rPr>
              <w:t>；</w:t>
            </w:r>
          </w:p>
        </w:tc>
        <w:tc>
          <w:tcPr>
            <w:tcW w:w="851"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242"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理解组织及其环境总要求</w:t>
            </w:r>
          </w:p>
          <w:p>
            <w:pPr>
              <w:spacing w:line="280" w:lineRule="exact"/>
              <w:rPr>
                <w:rFonts w:hint="eastAsia" w:ascii="等线" w:hAnsi="等线" w:eastAsia="等线" w:cs="等线"/>
                <w:b/>
                <w:sz w:val="21"/>
                <w:szCs w:val="21"/>
              </w:rPr>
            </w:pPr>
          </w:p>
        </w:tc>
        <w:tc>
          <w:tcPr>
            <w:tcW w:w="955"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QEO4.1</w:t>
            </w:r>
          </w:p>
          <w:p>
            <w:pPr>
              <w:spacing w:line="280" w:lineRule="exact"/>
              <w:rPr>
                <w:rFonts w:hint="eastAsia" w:ascii="等线" w:hAnsi="等线" w:eastAsia="等线" w:cs="等线"/>
                <w:b/>
                <w:sz w:val="21"/>
                <w:szCs w:val="21"/>
              </w:rPr>
            </w:pPr>
          </w:p>
        </w:tc>
        <w:tc>
          <w:tcPr>
            <w:tcW w:w="11661" w:type="dxa"/>
            <w:vAlign w:val="center"/>
          </w:tcPr>
          <w:p>
            <w:pPr>
              <w:spacing w:line="280" w:lineRule="exact"/>
              <w:ind w:firstLine="420" w:firstLineChars="200"/>
              <w:rPr>
                <w:rFonts w:hint="eastAsia" w:ascii="等线" w:hAnsi="等线" w:eastAsia="等线" w:cs="等线"/>
                <w:sz w:val="21"/>
                <w:szCs w:val="21"/>
                <w:lang w:eastAsia="zh-CN"/>
              </w:rPr>
            </w:pPr>
            <w:r>
              <w:rPr>
                <w:rFonts w:hint="eastAsia" w:ascii="等线" w:hAnsi="等线" w:eastAsia="等线" w:cs="等线"/>
                <w:sz w:val="21"/>
                <w:szCs w:val="21"/>
                <w:lang w:val="en-US" w:eastAsia="zh-CN"/>
              </w:rPr>
              <w:t>组织2014</w:t>
            </w:r>
            <w:r>
              <w:rPr>
                <w:rFonts w:hint="eastAsia" w:ascii="等线" w:hAnsi="等线" w:eastAsia="等线" w:cs="等线"/>
                <w:sz w:val="21"/>
                <w:szCs w:val="21"/>
              </w:rPr>
              <w:t>年</w:t>
            </w:r>
            <w:r>
              <w:rPr>
                <w:rFonts w:hint="eastAsia" w:ascii="等线" w:hAnsi="等线" w:eastAsia="等线" w:cs="等线"/>
                <w:sz w:val="21"/>
                <w:szCs w:val="21"/>
                <w:lang w:val="en-US" w:eastAsia="zh-CN"/>
              </w:rPr>
              <w:t>6</w:t>
            </w:r>
            <w:r>
              <w:rPr>
                <w:rFonts w:hint="eastAsia" w:ascii="等线" w:hAnsi="等线" w:eastAsia="等线" w:cs="等线"/>
                <w:sz w:val="21"/>
                <w:szCs w:val="21"/>
              </w:rPr>
              <w:t>月</w:t>
            </w:r>
            <w:r>
              <w:rPr>
                <w:rFonts w:hint="eastAsia" w:ascii="等线" w:hAnsi="等线" w:eastAsia="等线" w:cs="等线"/>
                <w:sz w:val="21"/>
                <w:szCs w:val="21"/>
                <w:lang w:val="en-US" w:eastAsia="zh-CN"/>
              </w:rPr>
              <w:t>04日</w:t>
            </w:r>
            <w:r>
              <w:rPr>
                <w:rFonts w:hint="eastAsia" w:ascii="等线" w:hAnsi="等线" w:eastAsia="等线" w:cs="等线"/>
                <w:sz w:val="21"/>
                <w:szCs w:val="21"/>
              </w:rPr>
              <w:t>注册</w:t>
            </w:r>
            <w:r>
              <w:rPr>
                <w:rFonts w:hint="eastAsia" w:ascii="等线" w:hAnsi="等线" w:eastAsia="等线" w:cs="等线"/>
                <w:sz w:val="21"/>
                <w:szCs w:val="21"/>
                <w:lang w:eastAsia="zh-CN"/>
              </w:rPr>
              <w:t>；</w:t>
            </w:r>
            <w:r>
              <w:rPr>
                <w:rFonts w:hint="eastAsia" w:ascii="等线" w:hAnsi="等线" w:eastAsia="等线" w:cs="等线"/>
                <w:sz w:val="21"/>
                <w:szCs w:val="21"/>
              </w:rPr>
              <w:t>法人：</w:t>
            </w:r>
            <w:r>
              <w:rPr>
                <w:rFonts w:hint="eastAsia" w:ascii="等线" w:hAnsi="等线" w:eastAsia="等线" w:cs="等线"/>
                <w:sz w:val="21"/>
                <w:szCs w:val="21"/>
                <w:lang w:val="en-US" w:eastAsia="zh-CN"/>
              </w:rPr>
              <w:t>吕方平</w:t>
            </w:r>
            <w:r>
              <w:rPr>
                <w:rFonts w:hint="eastAsia" w:ascii="等线" w:hAnsi="等线" w:eastAsia="等线" w:cs="等线"/>
                <w:sz w:val="21"/>
                <w:szCs w:val="21"/>
                <w:lang w:eastAsia="zh-CN"/>
              </w:rPr>
              <w:t>；</w:t>
            </w:r>
            <w:r>
              <w:rPr>
                <w:rFonts w:hint="eastAsia" w:ascii="等线" w:hAnsi="等线" w:eastAsia="等线" w:cs="等线"/>
                <w:sz w:val="21"/>
                <w:szCs w:val="21"/>
              </w:rPr>
              <w:t>总经理</w:t>
            </w:r>
            <w:r>
              <w:rPr>
                <w:rFonts w:hint="eastAsia" w:ascii="等线" w:hAnsi="等线" w:eastAsia="等线" w:cs="等线"/>
                <w:sz w:val="21"/>
                <w:szCs w:val="21"/>
                <w:lang w:eastAsia="zh-CN"/>
              </w:rPr>
              <w:t>：</w:t>
            </w:r>
            <w:r>
              <w:rPr>
                <w:rFonts w:hint="eastAsia" w:ascii="等线" w:hAnsi="等线" w:eastAsia="等线" w:cs="等线"/>
                <w:sz w:val="21"/>
                <w:szCs w:val="21"/>
                <w:lang w:val="en-US" w:eastAsia="zh-CN"/>
              </w:rPr>
              <w:t>吕方平</w:t>
            </w:r>
            <w:r>
              <w:rPr>
                <w:rFonts w:hint="eastAsia" w:ascii="等线" w:hAnsi="等线" w:eastAsia="等线" w:cs="等线"/>
                <w:sz w:val="21"/>
                <w:szCs w:val="21"/>
                <w:lang w:eastAsia="zh-CN"/>
              </w:rPr>
              <w:t>；</w:t>
            </w:r>
          </w:p>
          <w:p>
            <w:pPr>
              <w:keepNext w:val="0"/>
              <w:keepLines w:val="0"/>
              <w:widowControl/>
              <w:suppressLineNumbers w:val="0"/>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rPr>
              <w:t>注册地址</w:t>
            </w:r>
            <w:r>
              <w:rPr>
                <w:rFonts w:hint="eastAsia" w:ascii="等线" w:hAnsi="等线" w:eastAsia="等线" w:cs="等线"/>
                <w:sz w:val="21"/>
                <w:szCs w:val="21"/>
                <w:lang w:val="en-US" w:eastAsia="zh-CN"/>
              </w:rPr>
              <w:t>：</w:t>
            </w:r>
            <w:r>
              <w:rPr>
                <w:rFonts w:hint="eastAsia" w:ascii="等线" w:hAnsi="等线" w:eastAsia="等线" w:cs="等线"/>
                <w:sz w:val="21"/>
                <w:szCs w:val="21"/>
                <w:lang w:eastAsia="zh-CN"/>
              </w:rPr>
              <w:t>南京市高淳区淳溪镇北岭路17号12幢021号</w:t>
            </w:r>
            <w:r>
              <w:rPr>
                <w:rFonts w:hint="eastAsia" w:ascii="等线" w:hAnsi="等线" w:eastAsia="等线" w:cs="等线"/>
                <w:sz w:val="21"/>
                <w:szCs w:val="21"/>
                <w:lang w:val="en-US" w:eastAsia="zh-CN"/>
              </w:rPr>
              <w:t>；</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经营地址：</w:t>
            </w:r>
            <w:r>
              <w:rPr>
                <w:rFonts w:hint="eastAsia" w:ascii="等线" w:hAnsi="等线" w:eastAsia="等线" w:cs="等线"/>
                <w:sz w:val="21"/>
                <w:szCs w:val="21"/>
                <w:lang w:eastAsia="zh-CN"/>
              </w:rPr>
              <w:t>南京市高淳区淳溪街道北沿路15号汽摩城16号105室(销售地址）</w:t>
            </w:r>
            <w:r>
              <w:rPr>
                <w:rFonts w:hint="eastAsia" w:ascii="等线" w:hAnsi="等线" w:eastAsia="等线" w:cs="等线"/>
                <w:sz w:val="21"/>
                <w:szCs w:val="21"/>
              </w:rPr>
              <w:t>；</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经核实，营业执照有效，见附件。</w:t>
            </w:r>
          </w:p>
          <w:p>
            <w:pPr>
              <w:spacing w:line="280" w:lineRule="exact"/>
              <w:ind w:firstLine="420" w:firstLineChars="200"/>
              <w:rPr>
                <w:rFonts w:hint="eastAsia" w:ascii="等线" w:hAnsi="等线" w:eastAsia="等线" w:cs="等线"/>
                <w:b/>
                <w:color w:val="FF0000"/>
                <w:sz w:val="21"/>
                <w:szCs w:val="21"/>
              </w:rPr>
            </w:pPr>
            <w:r>
              <w:rPr>
                <w:rFonts w:hint="eastAsia" w:ascii="等线" w:hAnsi="等线" w:eastAsia="等线" w:cs="等线"/>
                <w:sz w:val="21"/>
                <w:szCs w:val="21"/>
                <w:lang w:val="en-US" w:eastAsia="zh-CN"/>
              </w:rPr>
              <w:t>吕方平介绍：组织确定了与管理目标和战略方向相关并影响实现管理体系预期结果的各种内部因素（如企业文化等）和外部因素（如国际、国家、地区和当地的各种法律法规、技术、竞争、文化和社会因素等）。这些因素包括了需要考虑的正面和负面因素或条件。组织根据销售人员从市场、客户、网络等搜集到的信息并结合自身业务运作情况进行分析，通过分析对这些内部和外部因素的相关信息进行监视和评审以确保其充分和适宜。</w:t>
            </w:r>
          </w:p>
        </w:tc>
        <w:tc>
          <w:tcPr>
            <w:tcW w:w="851" w:type="dxa"/>
          </w:tcPr>
          <w:p>
            <w:pPr>
              <w:rPr>
                <w:rFonts w:hint="eastAsia" w:eastAsia="宋体"/>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42"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理解相关方的需求和期望</w:t>
            </w:r>
          </w:p>
        </w:tc>
        <w:tc>
          <w:tcPr>
            <w:tcW w:w="955"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QEO4.2</w:t>
            </w:r>
          </w:p>
          <w:p>
            <w:p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经审核发现，组织考虑了以下相关方：①顾客②银行③外部供方④员工⑤主管部门等等。组织对这些相关方及其要求的相关信息进行监视和评审，以便于理解和持续满足相关方的需求和期望。主要证据体现在《相关方期望或需求识别表》 </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目前顾客的主要需求期望是：提供顾客满意的产品和服务。</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242"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确定管理体系的范围</w:t>
            </w:r>
          </w:p>
          <w:p>
            <w:pPr>
              <w:spacing w:line="280" w:lineRule="exact"/>
              <w:rPr>
                <w:rFonts w:hint="eastAsia" w:ascii="等线" w:hAnsi="等线" w:eastAsia="等线" w:cs="等线"/>
                <w:sz w:val="21"/>
                <w:szCs w:val="21"/>
                <w:lang w:val="en-US" w:eastAsia="zh-CN"/>
              </w:rPr>
            </w:pPr>
          </w:p>
        </w:tc>
        <w:tc>
          <w:tcPr>
            <w:tcW w:w="955" w:type="dxa"/>
          </w:tcPr>
          <w:p>
            <w:p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 4.3</w:t>
            </w:r>
          </w:p>
          <w:p>
            <w:pPr>
              <w:spacing w:line="280" w:lineRule="exact"/>
              <w:rPr>
                <w:rFonts w:hint="eastAsia" w:ascii="等线" w:hAnsi="等线" w:eastAsia="等线" w:cs="等线"/>
                <w:sz w:val="21"/>
                <w:szCs w:val="21"/>
                <w:lang w:val="en-US" w:eastAsia="zh-CN"/>
              </w:rPr>
            </w:pPr>
          </w:p>
        </w:tc>
        <w:tc>
          <w:tcPr>
            <w:tcW w:w="11661"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经现场核实确认，组织管理体系范围为：</w:t>
            </w:r>
          </w:p>
          <w:p>
            <w:pPr>
              <w:ind w:firstLine="420" w:firstLineChars="200"/>
              <w:rPr>
                <w:rFonts w:hint="eastAsia" w:ascii="等线" w:hAnsi="等线" w:eastAsia="等线" w:cs="等线"/>
                <w:sz w:val="21"/>
                <w:szCs w:val="21"/>
                <w:lang w:eastAsia="zh-CN"/>
              </w:rPr>
            </w:pPr>
            <w:bookmarkStart w:id="1" w:name="审核范围"/>
            <w:r>
              <w:rPr>
                <w:rFonts w:hint="eastAsia" w:ascii="等线" w:hAnsi="等线" w:eastAsia="等线" w:cs="等线"/>
                <w:sz w:val="21"/>
                <w:szCs w:val="21"/>
              </w:rPr>
              <w:t>Q：</w:t>
            </w:r>
            <w:r>
              <w:rPr>
                <w:rFonts w:hint="eastAsia" w:ascii="等线" w:hAnsi="等线" w:eastAsia="等线" w:cs="等线"/>
                <w:sz w:val="21"/>
                <w:szCs w:val="21"/>
                <w:lang w:eastAsia="zh-CN"/>
              </w:rPr>
              <w:t>环保（水处理）设备的销售</w:t>
            </w:r>
          </w:p>
          <w:p>
            <w:pPr>
              <w:ind w:firstLine="420" w:firstLineChars="200"/>
              <w:rPr>
                <w:rFonts w:hint="eastAsia" w:ascii="等线" w:hAnsi="等线" w:eastAsia="等线" w:cs="等线"/>
                <w:sz w:val="21"/>
                <w:szCs w:val="21"/>
              </w:rPr>
            </w:pPr>
            <w:r>
              <w:rPr>
                <w:rFonts w:hint="eastAsia" w:ascii="等线" w:hAnsi="等线" w:eastAsia="等线" w:cs="等线"/>
                <w:sz w:val="21"/>
                <w:szCs w:val="21"/>
              </w:rPr>
              <w:t>E：</w:t>
            </w:r>
            <w:r>
              <w:rPr>
                <w:rFonts w:hint="eastAsia" w:ascii="等线" w:hAnsi="等线" w:eastAsia="等线" w:cs="等线"/>
                <w:sz w:val="21"/>
                <w:szCs w:val="21"/>
                <w:lang w:eastAsia="zh-CN"/>
              </w:rPr>
              <w:t>环保（水处理）设备的销售</w:t>
            </w:r>
            <w:r>
              <w:rPr>
                <w:rFonts w:hint="eastAsia" w:ascii="等线" w:hAnsi="等线" w:eastAsia="等线" w:cs="等线"/>
                <w:sz w:val="21"/>
                <w:szCs w:val="21"/>
              </w:rPr>
              <w:t>所涉及场所的相关环境管理活动</w:t>
            </w:r>
          </w:p>
          <w:p>
            <w:pPr>
              <w:spacing w:line="28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O：</w:t>
            </w:r>
            <w:r>
              <w:rPr>
                <w:rFonts w:hint="eastAsia" w:ascii="等线" w:hAnsi="等线" w:eastAsia="等线" w:cs="等线"/>
                <w:sz w:val="21"/>
                <w:szCs w:val="21"/>
                <w:lang w:eastAsia="zh-CN"/>
              </w:rPr>
              <w:t>环保（水处理）设备的销售</w:t>
            </w:r>
            <w:r>
              <w:rPr>
                <w:rFonts w:hint="eastAsia" w:ascii="等线" w:hAnsi="等线" w:eastAsia="等线" w:cs="等线"/>
                <w:sz w:val="21"/>
                <w:szCs w:val="21"/>
              </w:rPr>
              <w:t>所涉及场所的相关职业健康安全管理活动</w:t>
            </w:r>
            <w:bookmarkEnd w:id="1"/>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不适用条款：无</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外包过程：无。</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42" w:type="dxa"/>
          </w:tcPr>
          <w:p>
            <w:pPr>
              <w:rPr>
                <w:rFonts w:hint="eastAsia" w:ascii="等线" w:hAnsi="等线" w:eastAsia="等线" w:cs="等线"/>
                <w:sz w:val="21"/>
                <w:szCs w:val="21"/>
              </w:rPr>
            </w:pPr>
            <w:r>
              <w:rPr>
                <w:rFonts w:hint="eastAsia" w:ascii="等线" w:hAnsi="等线" w:eastAsia="等线" w:cs="等线"/>
                <w:sz w:val="21"/>
                <w:szCs w:val="21"/>
              </w:rPr>
              <w:t>管理体系及其过程</w:t>
            </w:r>
          </w:p>
          <w:p>
            <w:pPr>
              <w:ind w:firstLine="420" w:firstLineChars="200"/>
              <w:rPr>
                <w:rFonts w:hint="eastAsia" w:ascii="等线" w:hAnsi="等线" w:eastAsia="等线" w:cs="等线"/>
                <w:sz w:val="21"/>
                <w:szCs w:val="21"/>
              </w:rPr>
            </w:pPr>
          </w:p>
        </w:tc>
        <w:tc>
          <w:tcPr>
            <w:tcW w:w="955" w:type="dxa"/>
          </w:tcPr>
          <w:p>
            <w:pPr>
              <w:rPr>
                <w:rFonts w:hint="eastAsia" w:ascii="等线" w:hAnsi="等线" w:eastAsia="等线" w:cs="等线"/>
                <w:sz w:val="21"/>
                <w:szCs w:val="21"/>
              </w:rPr>
            </w:pPr>
            <w:r>
              <w:rPr>
                <w:rFonts w:hint="eastAsia" w:ascii="等线" w:hAnsi="等线" w:eastAsia="等线" w:cs="等线"/>
                <w:sz w:val="21"/>
                <w:szCs w:val="21"/>
              </w:rPr>
              <w:t>QEO4.4</w:t>
            </w:r>
          </w:p>
          <w:p>
            <w:pPr>
              <w:ind w:firstLine="420" w:firstLineChars="200"/>
              <w:rPr>
                <w:rFonts w:hint="eastAsia" w:ascii="等线" w:hAnsi="等线" w:eastAsia="等线" w:cs="等线"/>
                <w:sz w:val="21"/>
                <w:szCs w:val="21"/>
              </w:rPr>
            </w:pPr>
          </w:p>
        </w:tc>
        <w:tc>
          <w:tcPr>
            <w:tcW w:w="11661" w:type="dxa"/>
            <w:vAlign w:val="center"/>
          </w:tcPr>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于2021年5月10日建立并正式实施管理体系。同时根据自身的实际情况和标准的要求组织工作人员编制了管理手册、作业文件和记录表格，制定了管理方针和管理目标。通过对过程监测结果进行分析，公司管理体系不断改进。</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确定了管理体系所需的过程，如文件与记录管理过程、人力资源管理过程、环保（水处理）设备的销售运营过程、环境运行过程等，并明确各过程的目标和职责，及各过程之间的衔接和影响。 </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出示有“目标完成情况统计表”对管理目标完成情况进行检查、统计、记录。</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提供了支持过程策划和运行的形成文件的信息。</w:t>
            </w:r>
          </w:p>
          <w:p>
            <w:p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体系建立至今未发生变化。</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领导作用与承诺总则</w:t>
            </w: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Q5.1.1</w:t>
            </w:r>
          </w:p>
          <w:p>
            <w:pPr>
              <w:numPr>
                <w:ilvl w:val="0"/>
                <w:numId w:val="0"/>
              </w:numPr>
              <w:spacing w:line="280" w:lineRule="exact"/>
              <w:rPr>
                <w:rFonts w:hint="eastAsia" w:ascii="等线" w:hAnsi="等线" w:eastAsia="等线" w:cs="等线"/>
                <w:sz w:val="21"/>
                <w:szCs w:val="21"/>
                <w:lang w:val="en-US" w:eastAsia="zh-CN"/>
              </w:rPr>
            </w:pP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EO5.1</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组织管理层处了解到，最高管理者通过以下方式证实其领导作用和承诺：</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1）对管理体系的有效性负责；</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2）建立QEO管理方针和目标，并确保与组织的环境相适应，与战略方向保持一致以； </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3）确保管理体系要求融入组织的采购、销售等业务过程；</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4）促进使用过程方法和机遇风险的思维；</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5）确保管理体系所需资源能被获得；</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6）建立良好的沟通机制，杜绝因沟通影响管理体系运行有效性；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7）确保管理体系实现其预期的结果；</w:t>
            </w:r>
          </w:p>
          <w:p>
            <w:pPr>
              <w:numPr>
                <w:ilvl w:val="0"/>
                <w:numId w:val="0"/>
              </w:numPr>
              <w:spacing w:line="280" w:lineRule="exact"/>
              <w:ind w:firstLine="420" w:firstLineChars="200"/>
              <w:jc w:val="both"/>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8）促使员工积极参与，指导和支持他们为公司管理体系的有效性作出贡献；</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9）推动改进和创新；</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10）做好管理岗位的任命，以支持其他管理者在其负责领域证实其领导作用；</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11）保护员工不因揭发组织的违法行为而遭受报复；</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12）引导建立企业安全文化；</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13）促进和落实协商和参与机制的建立与保持，支持员工代表，并在有条件的情况下成立健康安全委员会。</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内容基本与标准要求一致，满足要求。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以顾客为关注焦点</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Q5.1.2</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企业总经理等管理层通过以下方面实现证实其以顾客为关注焦点的领导作用和承诺：</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a) 确定、理解并持续满足顾客要求以及适用的法律法规要求；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b) 确定和应对能够影响产品、产品符合性以及增强顾客满意能力的风险和机遇；</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c) 始终致力于增强顾客满意。</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顾客满意的监视和评审记录详见供销部Q9.1.2条款。</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方针</w:t>
            </w:r>
          </w:p>
          <w:p>
            <w:pPr>
              <w:numPr>
                <w:ilvl w:val="0"/>
                <w:numId w:val="0"/>
              </w:numPr>
              <w:spacing w:line="280" w:lineRule="exact"/>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QEO5.2</w:t>
            </w: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组织的QEO方针内容如下：</w:t>
            </w:r>
          </w:p>
          <w:p>
            <w:pPr>
              <w:pStyle w:val="17"/>
              <w:snapToGrid w:val="0"/>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 xml:space="preserve">质量方针:  规范管理、周到服务、客户满意、持续改进 </w:t>
            </w:r>
          </w:p>
          <w:p>
            <w:pPr>
              <w:pStyle w:val="17"/>
              <w:snapToGrid w:val="0"/>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环境方针:  遵纪守法，预防污染；节能降耗，提高绩效</w:t>
            </w:r>
          </w:p>
          <w:p>
            <w:pPr>
              <w:rPr>
                <w:rFonts w:hint="eastAsia" w:ascii="宋体" w:hAnsi="Courier New" w:cs="Courier New" w:eastAsiaTheme="minorEastAsia"/>
                <w:b/>
                <w:sz w:val="21"/>
                <w:szCs w:val="21"/>
                <w:u w:val="single"/>
              </w:rPr>
            </w:pPr>
            <w:r>
              <w:rPr>
                <w:rFonts w:hint="eastAsia" w:ascii="等线" w:hAnsi="等线" w:eastAsia="等线" w:cs="等线"/>
                <w:kern w:val="2"/>
                <w:sz w:val="21"/>
                <w:szCs w:val="21"/>
                <w:lang w:val="en-US" w:eastAsia="zh-CN" w:bidi="ar-SA"/>
              </w:rPr>
              <w:t>职业健康安全方针：遵纪守法，安全作业，源头防范事故发生；注重防护，关爱员工，确保职业健康安全。</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组织以质量、环境、职业健康安全标准为基础，结合实际特制定管理方针，与组织的经营宗旨基本一致，能为制定目标提供框架，基本符合标准的要求。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管理层对方针内涵的理解较深刻，并通过会议、文件等手段保证管理方针为全体员工理解并落实到工作中，相关方也可通过组织获取相应的管理方针。</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组织的岗位、职责和权限</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QEO5.3</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组织确定了各部门、岗位人员职责、权限和相互关系，并对各级员工进行了必要的传达。组织任命吕方平为管理体系的管理层。抽查其职责和权限规定如下：</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1.确保质量环境职业健康安全管理体系的过程得到建立、实施和保持；</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2.向最高管理者报告质量环境职业健康安全管理体系的业绩和任何改进的需求；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3.在整个组织内贯彻环境保护及职业健康安全意识，促进顾客要求意识的形成；</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4.就质量环境职业健康安全管理体系有关事宜对外联络，负责与认证机构联络与协调方面的事项。</w:t>
            </w:r>
          </w:p>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其职能和权限设置基本能够满足要求。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242" w:type="dxa"/>
          </w:tcPr>
          <w:p>
            <w:pPr>
              <w:numPr>
                <w:ilvl w:val="0"/>
                <w:numId w:val="0"/>
              </w:numPr>
              <w:spacing w:line="280" w:lineRule="exact"/>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应对风险和机遇的措施策划</w:t>
            </w:r>
          </w:p>
          <w:p>
            <w:pPr>
              <w:numPr>
                <w:ilvl w:val="0"/>
                <w:numId w:val="0"/>
              </w:numPr>
              <w:spacing w:line="280" w:lineRule="exact"/>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Q6.1</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E06.1.1</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EO6.1.4</w:t>
            </w:r>
          </w:p>
          <w:p>
            <w:pPr>
              <w:numPr>
                <w:ilvl w:val="0"/>
                <w:numId w:val="0"/>
              </w:numPr>
              <w:spacing w:line="280" w:lineRule="exact"/>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在策划管理体系时考虑了风险和机遇以及相应的应对措施，制定了《风险和机遇的应对控制程序》，明确了风险和机遇事件的识别方法/途径、评估方式、制定主要风险和机遇事件的应对措施的要求、评价这些措施有效性的方法。</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根据程序文件要求，将需要应对的风险和机遇进行风险分析确定风险级别（一般风险、重大风险），在管理体系所确定的过程（如销售、安装等）中，整合制定针对性管理措施（如程序控制等）并作了有效性评价。</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提供了《企业风险和机遇应对策划表》，内容包括部门、业务范畴、风险事项、风险等级评估、应对措施及有效性评价等，组织根据业务活动过程，从各部门角度识别和评估了质量、环境和职业健康安全风险和机遇，基本满足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242" w:type="dxa"/>
            <w:vAlign w:val="center"/>
          </w:tcPr>
          <w:p>
            <w:pPr>
              <w:numPr>
                <w:ilvl w:val="0"/>
                <w:numId w:val="0"/>
              </w:numPr>
              <w:spacing w:line="280" w:lineRule="exact"/>
              <w:jc w:val="lef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目标及其实现的策划</w:t>
            </w:r>
          </w:p>
        </w:tc>
        <w:tc>
          <w:tcPr>
            <w:tcW w:w="955" w:type="dxa"/>
            <w:vAlign w:val="center"/>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QEO：6.2</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根据实际制定了质量、环境、职业健康安全目标，在相关职能、层次和过程上建立目标考虑了适用的要求，均可测量，与方针基本一致，并以公告、会议形式传达、培训和内部沟通等形式进行了传达。其中质量目标与产品和服务的符合性以及增强顾客满意有关。</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组织的的质量、环境和职业健康安全目标如下：</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质量目标：1.产品一次交验合格率≥98%；2.顾客满意率≥90%；3.合同履约率100%。</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环境目标：遵守法律法规，坚持以节约、高效、环保为核心的商业模式，满足环境规定要求，确保社会和相关方满意；环境指标：各类废弃物按规定处置率100%。</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职业健康安全目标：确保员工职业健康安全；职业健康安全指标：重大安全事故（触电、火灾）发生为0。</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组织对质量、环境、职业健康安全目标、指标在相关职能层次上予以分解，基本能够满足要求，具体见各部门6.2目标监视记录。</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查见《2021年质量目标分解和完成情况统计表》、</w:t>
            </w:r>
            <w:bookmarkStart w:id="3" w:name="_GoBack"/>
            <w:r>
              <w:rPr>
                <w:rFonts w:hint="eastAsia" w:ascii="等线" w:hAnsi="等线" w:eastAsia="等线" w:cs="等线"/>
                <w:sz w:val="21"/>
                <w:szCs w:val="21"/>
                <w:lang w:val="en-US" w:eastAsia="zh-CN"/>
              </w:rPr>
              <w:t>《安全目标指标方案检查记录》、《环境目标指标方案检查记录》，均有相应的监视和评审记录，符合控制要求。</w:t>
            </w:r>
            <w:bookmarkEnd w:id="3"/>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42" w:type="dxa"/>
          </w:tcPr>
          <w:p>
            <w:pPr>
              <w:spacing w:line="280" w:lineRule="exact"/>
              <w:jc w:val="left"/>
              <w:rPr>
                <w:rFonts w:hint="eastAsia" w:ascii="等线" w:hAnsi="等线" w:eastAsia="等线" w:cs="等线"/>
                <w:sz w:val="21"/>
                <w:szCs w:val="21"/>
              </w:rPr>
            </w:pPr>
            <w:r>
              <w:rPr>
                <w:rFonts w:hint="eastAsia" w:ascii="等线" w:hAnsi="等线" w:eastAsia="等线" w:cs="等线"/>
                <w:sz w:val="21"/>
                <w:szCs w:val="21"/>
              </w:rPr>
              <w:t>变更的策划</w:t>
            </w:r>
          </w:p>
          <w:p>
            <w:pPr>
              <w:spacing w:line="280" w:lineRule="exact"/>
              <w:rPr>
                <w:rFonts w:hint="eastAsia" w:ascii="等线" w:hAnsi="等线" w:eastAsia="等线" w:cs="等线"/>
                <w:sz w:val="21"/>
                <w:szCs w:val="21"/>
              </w:rPr>
            </w:pPr>
          </w:p>
        </w:tc>
        <w:tc>
          <w:tcPr>
            <w:tcW w:w="955" w:type="dxa"/>
          </w:tcPr>
          <w:p>
            <w:pPr>
              <w:spacing w:line="280" w:lineRule="exact"/>
              <w:rPr>
                <w:rFonts w:hint="eastAsia" w:ascii="等线" w:hAnsi="等线" w:eastAsia="等线" w:cs="等线"/>
                <w:sz w:val="21"/>
                <w:szCs w:val="21"/>
              </w:rPr>
            </w:pPr>
            <w:r>
              <w:rPr>
                <w:rFonts w:hint="eastAsia" w:ascii="等线" w:hAnsi="等线" w:eastAsia="等线" w:cs="等线"/>
                <w:sz w:val="21"/>
                <w:szCs w:val="21"/>
              </w:rPr>
              <w:t>Q6.3</w:t>
            </w:r>
          </w:p>
          <w:p>
            <w:pPr>
              <w:spacing w:line="280" w:lineRule="exact"/>
              <w:rPr>
                <w:rFonts w:hint="eastAsia" w:ascii="等线" w:hAnsi="等线" w:eastAsia="等线" w:cs="等线"/>
                <w:sz w:val="21"/>
                <w:szCs w:val="21"/>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经审核了解到，组织确定了需要对管理体系进行变更时应考虑以下内容：a）变更目的及其潜在后果；b）管理体系的完整性；c）资源的可获得性；d）责任和权限的分配与再分配。</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组织2021年5月20日QEO体系建立、实施、保持以来，暂无对管理体系的变更。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资源总则</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Q7.1.1</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EO7.1</w:t>
            </w: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现场审核发现，组织配备了必要的人力资源、基础设施（如办公设施、仓库等），提供了基本的工作和销售环境、监视测量资源和必要的知识等，基本能够满足管理体系保持和改进的需求。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管理评审</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QEO9.3</w:t>
            </w: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组织编制了《管理评审管理程序》，规定了评审时间、评审内容、计划安排、实施和报告的编制要求，内容基本完整，符合策划要求。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查见：</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1.管理评审计划：2022.1.10日进行了管理评审。包括评审依据、评审目的、评审内容等，除评审依据有待进一步确认外，内容基本完整，符合标准要求。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2.评审会议记录：内容包括时间、地点、主持人、记录人、参与人员和会议内容等，除未见参与人员手签外，基本满足记录控制要求。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3.管理评审报告：主要内容包括输入、输出和结论，输入内容基本完整，其中输出改进建议管理评审改进的问题如下：</w:t>
            </w:r>
          </w:p>
          <w:p>
            <w:pPr>
              <w:numPr>
                <w:ilvl w:val="0"/>
                <w:numId w:val="0"/>
              </w:numPr>
              <w:spacing w:line="280" w:lineRule="exact"/>
              <w:ind w:firstLine="420" w:firstLineChars="200"/>
              <w:rPr>
                <w:rFonts w:hint="eastAsia" w:ascii="等线" w:hAnsi="等线" w:eastAsia="等线" w:cs="等线"/>
                <w:sz w:val="21"/>
                <w:szCs w:val="21"/>
                <w:lang w:val="en-US" w:eastAsia="zh-CN"/>
              </w:rPr>
            </w:pPr>
            <w:bookmarkStart w:id="2" w:name="OLE_LINK1"/>
            <w:r>
              <w:rPr>
                <w:rFonts w:hint="eastAsia" w:ascii="等线" w:hAnsi="等线" w:eastAsia="等线" w:cs="等线"/>
                <w:sz w:val="21"/>
                <w:szCs w:val="21"/>
                <w:lang w:val="en-US" w:eastAsia="zh-CN"/>
              </w:rPr>
              <w:t>①对全体员工进行体系标准培训，加强对标准的理解和掌握。</w:t>
            </w:r>
          </w:p>
          <w:bookmarkEnd w:id="2"/>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4.《QEO体系体系改进计划》：计划针对管理评审报告中的改进建议，实施改进内容，落实责任人和完成期限，并进行有效性评价，基本满足后续落实要求。</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42" w:type="dxa"/>
          </w:tcPr>
          <w:p>
            <w:pPr>
              <w:numPr>
                <w:ilvl w:val="0"/>
                <w:numId w:val="0"/>
              </w:numPr>
              <w:spacing w:line="280" w:lineRule="exact"/>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改进及其持续性</w:t>
            </w:r>
          </w:p>
        </w:tc>
        <w:tc>
          <w:tcPr>
            <w:tcW w:w="955"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QEO10.1/10.3</w:t>
            </w: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 xml:space="preserve">综合全部审核证据发现，组织通过目标监视、内部审核、管理评审、不合格和纠正措施等各项活动落实改进要求，相关管理活动包括绩效和有效性监视等得到有效开展，改进的要求基本得到满足。  </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具体改进见各部门10.2条款记录。</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组织确定并选择改进机会，采取必要措施，满足顾客要求和增强顾客满意。</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包括：</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a) 改进产品或服务，以满足要求并关注未来的需求和期望；</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b) 纠正或减少不利影响；</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c) 改进管理体系绩效和有效性。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对以下方面所需的监视、测量、分析和改进过程进行策划和实施：</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1.证实产品销售满足规定的要求；</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2.确保管理体系的符合性；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3.持续改进管理体系的有效性。</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根据不同过程、不同产品和不同要求，采取不同的方法进行监视、测量和分析。</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人数</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组织现有员工15人，与申报管理体系人数基本一致。</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事故</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组织管理体系自运行以来，未发生质量、环境、职业健康安全事故。</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顾客投诉</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管理体系运行期间，组织有收到顾客的质量反馈记录，具体见供销部Q8.7，无投诉记录。</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上级主管单位监督抽查</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近一年无上级主管部门对公司的在质量、环境、职业健康安全监督抽查</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遵纪守法情况</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目前组织经营过程中没有发生违反质量、环境和职业健康安全相关法律法规及其他要求的情况</w:t>
            </w:r>
          </w:p>
        </w:tc>
        <w:tc>
          <w:tcPr>
            <w:tcW w:w="851"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42"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一阶段问题整改</w:t>
            </w:r>
          </w:p>
        </w:tc>
        <w:tc>
          <w:tcPr>
            <w:tcW w:w="955" w:type="dxa"/>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1661"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初审阶段提出问题：现场摆放灭火器数量不足，且未点检</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已整改。</w:t>
            </w:r>
          </w:p>
        </w:tc>
        <w:tc>
          <w:tcPr>
            <w:tcW w:w="851" w:type="dxa"/>
          </w:tcPr>
          <w:p>
            <w:pPr>
              <w:rPr>
                <w:color w:val="FF0000"/>
              </w:rPr>
            </w:pPr>
          </w:p>
        </w:tc>
      </w:tr>
    </w:tbl>
    <w:p>
      <w:pPr>
        <w:pStyle w:val="6"/>
      </w:pPr>
    </w:p>
    <w:p>
      <w:pPr>
        <w:pStyle w:val="6"/>
      </w:pPr>
    </w:p>
    <w:p>
      <w:pPr>
        <w:pStyle w:val="6"/>
      </w:pPr>
    </w:p>
    <w:p>
      <w:pPr>
        <w:pStyle w:val="6"/>
      </w:pPr>
    </w:p>
    <w:p>
      <w:pPr>
        <w:spacing w:line="480" w:lineRule="exact"/>
        <w:jc w:val="center"/>
        <w:rPr>
          <w:rFonts w:hint="eastAsia" w:asciiTheme="minorEastAsia" w:hAnsiTheme="minorEastAsia" w:eastAsiaTheme="minorEastAsia"/>
          <w:b/>
          <w:bCs/>
          <w:sz w:val="44"/>
          <w:szCs w:val="44"/>
        </w:rPr>
      </w:pPr>
    </w:p>
    <w:p>
      <w:pPr>
        <w:spacing w:line="48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过程与活动、</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抽样计划</w:t>
            </w:r>
          </w:p>
        </w:tc>
        <w:tc>
          <w:tcPr>
            <w:tcW w:w="960" w:type="dxa"/>
            <w:vMerge w:val="restart"/>
            <w:vAlign w:val="center"/>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涉及</w:t>
            </w:r>
          </w:p>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条款</w:t>
            </w:r>
          </w:p>
        </w:tc>
        <w:tc>
          <w:tcPr>
            <w:tcW w:w="10455" w:type="dxa"/>
            <w:vAlign w:val="center"/>
          </w:tcPr>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 xml:space="preserve">受审核部门及区域：职业健康安全事务代表  </w:t>
            </w:r>
            <w:r>
              <w:rPr>
                <w:rFonts w:hint="eastAsia" w:ascii="宋体" w:hAnsi="宋体"/>
                <w:b/>
                <w:bCs/>
                <w:szCs w:val="21"/>
                <w:u w:val="single"/>
              </w:rPr>
              <w:t>何亚洲</w:t>
            </w:r>
            <w:r>
              <w:rPr>
                <w:rFonts w:hint="eastAsia" w:ascii="等线" w:hAnsi="等线" w:eastAsia="等线" w:cs="等线"/>
                <w:sz w:val="21"/>
                <w:szCs w:val="21"/>
                <w:lang w:val="en-US" w:eastAsia="zh-CN"/>
              </w:rPr>
              <w:t xml:space="preserve">   陪同人员：徐艺</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60" w:type="dxa"/>
            <w:vMerge w:val="continue"/>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0455" w:type="dxa"/>
            <w:vAlign w:val="center"/>
          </w:tcPr>
          <w:p>
            <w:pPr>
              <w:numPr>
                <w:ilvl w:val="0"/>
                <w:numId w:val="0"/>
              </w:numPr>
              <w:spacing w:line="280" w:lineRule="exact"/>
              <w:ind w:firstLine="420" w:firstLineChars="200"/>
              <w:rPr>
                <w:rFonts w:hint="default" w:ascii="等线" w:hAnsi="等线" w:eastAsia="等线" w:cs="等线"/>
                <w:sz w:val="21"/>
                <w:szCs w:val="21"/>
                <w:lang w:val="en-US" w:eastAsia="zh-CN"/>
              </w:rPr>
            </w:pPr>
            <w:r>
              <w:rPr>
                <w:rFonts w:hint="eastAsia" w:ascii="等线" w:hAnsi="等线" w:eastAsia="等线" w:cs="等线"/>
                <w:sz w:val="21"/>
                <w:szCs w:val="21"/>
                <w:lang w:val="en-US" w:eastAsia="zh-CN"/>
              </w:rPr>
              <w:t>审核员：张磊      审核时间：2022.3.14</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Merge w:val="continue"/>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60" w:type="dxa"/>
            <w:vMerge w:val="continue"/>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0455"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涉及标准条款：O：5.3/5.4/7.4</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60" w:type="dxa"/>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职责权限</w:t>
            </w: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960"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O5.3</w:t>
            </w: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p>
            <w:pPr>
              <w:numPr>
                <w:ilvl w:val="0"/>
                <w:numId w:val="0"/>
              </w:numPr>
              <w:spacing w:line="280" w:lineRule="exact"/>
              <w:ind w:firstLine="420" w:firstLineChars="200"/>
              <w:rPr>
                <w:rFonts w:hint="eastAsia" w:ascii="等线" w:hAnsi="等线" w:eastAsia="等线" w:cs="等线"/>
                <w:sz w:val="21"/>
                <w:szCs w:val="21"/>
                <w:lang w:val="en-US" w:eastAsia="zh-CN"/>
              </w:rPr>
            </w:pPr>
          </w:p>
        </w:tc>
        <w:tc>
          <w:tcPr>
            <w:tcW w:w="10455"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查该组织通过员工选举推举</w:t>
            </w:r>
            <w:r>
              <w:rPr>
                <w:rFonts w:hint="eastAsia" w:ascii="宋体" w:hAnsi="宋体"/>
                <w:b/>
                <w:bCs/>
                <w:szCs w:val="21"/>
                <w:u w:val="single"/>
              </w:rPr>
              <w:t>何亚洲</w:t>
            </w:r>
            <w:r>
              <w:rPr>
                <w:rFonts w:hint="eastAsia" w:ascii="等线" w:hAnsi="等线" w:eastAsia="等线" w:cs="等线"/>
                <w:sz w:val="21"/>
                <w:szCs w:val="21"/>
                <w:lang w:val="en-US" w:eastAsia="zh-CN"/>
              </w:rPr>
              <w:t>为职业健康安全事务代表。</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职业健康安全事务代表的职责主要包括:</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1.参与公司职业健康安全方针、目标和管理方案的制定</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2.参与危险源的辨识、风险评价和控制措施的确定；</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3.参与适用于公司的职业健康安全法律法规和其它要求的识别与更新；</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4.代表员工就公司职业健康安全事项和公司最高管理层进行协商和沟通；</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5、参加事件的调查等。</w:t>
            </w:r>
          </w:p>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经询问，员工代表基本了解其职责情况，满足协商和参与机制的要求。</w:t>
            </w:r>
          </w:p>
        </w:tc>
        <w:tc>
          <w:tcPr>
            <w:tcW w:w="1134" w:type="dxa"/>
          </w:tcPr>
          <w:p>
            <w:pPr>
              <w:rPr>
                <w:rFonts w:hint="eastAsia" w:ascii="楷体" w:hAnsi="楷体" w:eastAsia="楷体"/>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60" w:type="dxa"/>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协商和沟通</w:t>
            </w:r>
          </w:p>
        </w:tc>
        <w:tc>
          <w:tcPr>
            <w:tcW w:w="960" w:type="dxa"/>
          </w:tcPr>
          <w:p>
            <w:pPr>
              <w:numPr>
                <w:ilvl w:val="0"/>
                <w:numId w:val="0"/>
              </w:numPr>
              <w:spacing w:line="280" w:lineRule="exact"/>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05.4、7.4</w:t>
            </w:r>
          </w:p>
        </w:tc>
        <w:tc>
          <w:tcPr>
            <w:tcW w:w="10455" w:type="dxa"/>
            <w:vAlign w:val="center"/>
          </w:tcPr>
          <w:p>
            <w:pPr>
              <w:numPr>
                <w:ilvl w:val="0"/>
                <w:numId w:val="0"/>
              </w:numPr>
              <w:spacing w:line="280" w:lineRule="exact"/>
              <w:ind w:firstLine="420" w:firstLineChars="200"/>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经交流：何亚洲参与了组织职业健康危险源辨识等相关职业健康安全活动的策划工作，组织管理体系运行至今无员工投诉，员工代表在协商参与机制中的沟通基本无不畅通的状况。</w:t>
            </w:r>
          </w:p>
        </w:tc>
        <w:tc>
          <w:tcPr>
            <w:tcW w:w="1134" w:type="dxa"/>
          </w:tcPr>
          <w:p>
            <w:pPr>
              <w:rPr>
                <w:rFonts w:ascii="楷体" w:hAnsi="楷体" w:eastAsia="楷体"/>
                <w:color w:val="FF0000"/>
                <w:sz w:val="24"/>
                <w:szCs w:val="24"/>
              </w:rPr>
            </w:pPr>
          </w:p>
        </w:tc>
      </w:tr>
    </w:tbl>
    <w:p>
      <w:pPr>
        <w:pStyle w:val="6"/>
        <w:rPr>
          <w:rFonts w:ascii="楷体" w:hAnsi="楷体" w:eastAsia="楷体"/>
          <w:color w:val="FF0000"/>
          <w:sz w:val="24"/>
          <w:szCs w:val="24"/>
        </w:rPr>
      </w:pPr>
    </w:p>
    <w:p>
      <w:pPr>
        <w:pStyle w:val="6"/>
        <w:rPr>
          <w:rFonts w:hint="default" w:ascii="楷体" w:hAnsi="楷体" w:eastAsia="楷体"/>
          <w:sz w:val="24"/>
          <w:szCs w:val="24"/>
          <w:lang w:val="en-US" w:eastAsia="zh-CN"/>
        </w:rPr>
      </w:pPr>
      <w:r>
        <w:rPr>
          <w:rFonts w:hint="eastAsia" w:ascii="楷体" w:hAnsi="楷体" w:eastAsia="楷体"/>
          <w:sz w:val="24"/>
          <w:szCs w:val="24"/>
        </w:rPr>
        <w:t>说明：不符合标注N</w:t>
      </w:r>
      <w:r>
        <w:rPr>
          <w:rFonts w:hint="eastAsia" w:ascii="楷体" w:hAnsi="楷体" w:eastAsia="楷体"/>
          <w:sz w:val="24"/>
          <w:szCs w:val="24"/>
          <w:lang w:eastAsia="zh-CN"/>
        </w:rPr>
        <w:t>，</w:t>
      </w:r>
      <w:r>
        <w:rPr>
          <w:rFonts w:hint="eastAsia" w:ascii="楷体" w:hAnsi="楷体" w:eastAsia="楷体"/>
          <w:sz w:val="24"/>
          <w:szCs w:val="24"/>
          <w:lang w:val="en-US" w:eastAsia="zh-CN"/>
        </w:rPr>
        <w:t>QEO记录已由组长进行整合。</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973B4"/>
    <w:rsid w:val="000043CB"/>
    <w:rsid w:val="00020F5A"/>
    <w:rsid w:val="000237F6"/>
    <w:rsid w:val="000258CD"/>
    <w:rsid w:val="0003373A"/>
    <w:rsid w:val="0005083C"/>
    <w:rsid w:val="000515B6"/>
    <w:rsid w:val="00054136"/>
    <w:rsid w:val="00057B91"/>
    <w:rsid w:val="0006102E"/>
    <w:rsid w:val="000710E4"/>
    <w:rsid w:val="000A1CA7"/>
    <w:rsid w:val="00110343"/>
    <w:rsid w:val="0012572F"/>
    <w:rsid w:val="00153691"/>
    <w:rsid w:val="00171A84"/>
    <w:rsid w:val="00183AB3"/>
    <w:rsid w:val="001A2D7F"/>
    <w:rsid w:val="00202B7C"/>
    <w:rsid w:val="0021156B"/>
    <w:rsid w:val="00221A32"/>
    <w:rsid w:val="00232E13"/>
    <w:rsid w:val="00240E2A"/>
    <w:rsid w:val="00245592"/>
    <w:rsid w:val="00253156"/>
    <w:rsid w:val="00317036"/>
    <w:rsid w:val="00337922"/>
    <w:rsid w:val="00340867"/>
    <w:rsid w:val="00341E11"/>
    <w:rsid w:val="00380837"/>
    <w:rsid w:val="003A198A"/>
    <w:rsid w:val="003C492E"/>
    <w:rsid w:val="003C588D"/>
    <w:rsid w:val="003D60E6"/>
    <w:rsid w:val="003F66D4"/>
    <w:rsid w:val="003F775B"/>
    <w:rsid w:val="00410914"/>
    <w:rsid w:val="004344A7"/>
    <w:rsid w:val="004378F3"/>
    <w:rsid w:val="00467CAB"/>
    <w:rsid w:val="004822F1"/>
    <w:rsid w:val="004B37F2"/>
    <w:rsid w:val="004D29D2"/>
    <w:rsid w:val="00517A1F"/>
    <w:rsid w:val="00532D38"/>
    <w:rsid w:val="00536930"/>
    <w:rsid w:val="0055558C"/>
    <w:rsid w:val="00564E53"/>
    <w:rsid w:val="005775A4"/>
    <w:rsid w:val="00595758"/>
    <w:rsid w:val="005D1743"/>
    <w:rsid w:val="005E67E9"/>
    <w:rsid w:val="005F3497"/>
    <w:rsid w:val="006056EA"/>
    <w:rsid w:val="00611ADE"/>
    <w:rsid w:val="0063797B"/>
    <w:rsid w:val="00643FD1"/>
    <w:rsid w:val="00644FE2"/>
    <w:rsid w:val="006570CF"/>
    <w:rsid w:val="0067640C"/>
    <w:rsid w:val="006811DA"/>
    <w:rsid w:val="006878FE"/>
    <w:rsid w:val="006A653A"/>
    <w:rsid w:val="006D7128"/>
    <w:rsid w:val="006E678B"/>
    <w:rsid w:val="00711024"/>
    <w:rsid w:val="0072280D"/>
    <w:rsid w:val="00727331"/>
    <w:rsid w:val="00735A80"/>
    <w:rsid w:val="007757F3"/>
    <w:rsid w:val="007E2BC3"/>
    <w:rsid w:val="007E4532"/>
    <w:rsid w:val="007E6AEB"/>
    <w:rsid w:val="008070EF"/>
    <w:rsid w:val="00887DAC"/>
    <w:rsid w:val="008902D5"/>
    <w:rsid w:val="008973EE"/>
    <w:rsid w:val="008D1417"/>
    <w:rsid w:val="0091039B"/>
    <w:rsid w:val="009203F9"/>
    <w:rsid w:val="00944B05"/>
    <w:rsid w:val="00945B4E"/>
    <w:rsid w:val="00971600"/>
    <w:rsid w:val="0099193A"/>
    <w:rsid w:val="009973B4"/>
    <w:rsid w:val="009C28C1"/>
    <w:rsid w:val="009C4F3D"/>
    <w:rsid w:val="009D0A76"/>
    <w:rsid w:val="009D28A3"/>
    <w:rsid w:val="009F7EED"/>
    <w:rsid w:val="00A26D39"/>
    <w:rsid w:val="00AB5D2F"/>
    <w:rsid w:val="00AF0AAB"/>
    <w:rsid w:val="00B14E98"/>
    <w:rsid w:val="00B32CBD"/>
    <w:rsid w:val="00B43D9F"/>
    <w:rsid w:val="00BA4C9C"/>
    <w:rsid w:val="00BE3113"/>
    <w:rsid w:val="00BE4C7C"/>
    <w:rsid w:val="00BF597E"/>
    <w:rsid w:val="00C01B6A"/>
    <w:rsid w:val="00C06CF5"/>
    <w:rsid w:val="00C15701"/>
    <w:rsid w:val="00C24584"/>
    <w:rsid w:val="00C34C6F"/>
    <w:rsid w:val="00C4072B"/>
    <w:rsid w:val="00C51A36"/>
    <w:rsid w:val="00C55228"/>
    <w:rsid w:val="00C66BF4"/>
    <w:rsid w:val="00C82DBB"/>
    <w:rsid w:val="00C85786"/>
    <w:rsid w:val="00CC18F0"/>
    <w:rsid w:val="00CD77B7"/>
    <w:rsid w:val="00CE315A"/>
    <w:rsid w:val="00D06F59"/>
    <w:rsid w:val="00D07DC3"/>
    <w:rsid w:val="00D26766"/>
    <w:rsid w:val="00D8388C"/>
    <w:rsid w:val="00D95366"/>
    <w:rsid w:val="00DC665C"/>
    <w:rsid w:val="00E04C1E"/>
    <w:rsid w:val="00E15AC5"/>
    <w:rsid w:val="00E22A1C"/>
    <w:rsid w:val="00E24B1E"/>
    <w:rsid w:val="00E55C79"/>
    <w:rsid w:val="00E611ED"/>
    <w:rsid w:val="00E67C82"/>
    <w:rsid w:val="00EB0164"/>
    <w:rsid w:val="00ED0F62"/>
    <w:rsid w:val="00EF2D1B"/>
    <w:rsid w:val="00F16DE8"/>
    <w:rsid w:val="00F2272E"/>
    <w:rsid w:val="00FB38B0"/>
    <w:rsid w:val="00FC2F86"/>
    <w:rsid w:val="00FD3466"/>
    <w:rsid w:val="011E7A06"/>
    <w:rsid w:val="06380A36"/>
    <w:rsid w:val="063C25A1"/>
    <w:rsid w:val="07A4486E"/>
    <w:rsid w:val="087F1978"/>
    <w:rsid w:val="0A5C1D75"/>
    <w:rsid w:val="0B1F7084"/>
    <w:rsid w:val="0B772A1C"/>
    <w:rsid w:val="0C160E49"/>
    <w:rsid w:val="0C2B0239"/>
    <w:rsid w:val="0CD619C5"/>
    <w:rsid w:val="0D3737A0"/>
    <w:rsid w:val="0E4D3F08"/>
    <w:rsid w:val="108219C2"/>
    <w:rsid w:val="112A2839"/>
    <w:rsid w:val="14F85F8E"/>
    <w:rsid w:val="162E7E37"/>
    <w:rsid w:val="16353C00"/>
    <w:rsid w:val="19122D9F"/>
    <w:rsid w:val="1BD34DBF"/>
    <w:rsid w:val="1C0F41E1"/>
    <w:rsid w:val="1D2A7848"/>
    <w:rsid w:val="1E5B1377"/>
    <w:rsid w:val="1EC70B1E"/>
    <w:rsid w:val="1F8D1CC6"/>
    <w:rsid w:val="1FC921BB"/>
    <w:rsid w:val="201024D2"/>
    <w:rsid w:val="20787CB3"/>
    <w:rsid w:val="217A2C69"/>
    <w:rsid w:val="21C5052E"/>
    <w:rsid w:val="233E7D73"/>
    <w:rsid w:val="245E76FD"/>
    <w:rsid w:val="249B49DE"/>
    <w:rsid w:val="27156060"/>
    <w:rsid w:val="291E06B3"/>
    <w:rsid w:val="29636C1E"/>
    <w:rsid w:val="2A4E3856"/>
    <w:rsid w:val="2B85365F"/>
    <w:rsid w:val="2C9D6971"/>
    <w:rsid w:val="2D22001E"/>
    <w:rsid w:val="2DDF2977"/>
    <w:rsid w:val="2DEE0C03"/>
    <w:rsid w:val="2E460035"/>
    <w:rsid w:val="2FF02762"/>
    <w:rsid w:val="2FF1178F"/>
    <w:rsid w:val="30487B20"/>
    <w:rsid w:val="310660E1"/>
    <w:rsid w:val="32700042"/>
    <w:rsid w:val="3309674B"/>
    <w:rsid w:val="33500512"/>
    <w:rsid w:val="33E52369"/>
    <w:rsid w:val="34DF59E3"/>
    <w:rsid w:val="35251994"/>
    <w:rsid w:val="370D2AA4"/>
    <w:rsid w:val="389A53B4"/>
    <w:rsid w:val="394F0285"/>
    <w:rsid w:val="3ABB3ABC"/>
    <w:rsid w:val="3CEE3266"/>
    <w:rsid w:val="3E7B0894"/>
    <w:rsid w:val="3F8A0269"/>
    <w:rsid w:val="41266FCC"/>
    <w:rsid w:val="42622B53"/>
    <w:rsid w:val="428B4B01"/>
    <w:rsid w:val="451C407E"/>
    <w:rsid w:val="45287C97"/>
    <w:rsid w:val="477B65CF"/>
    <w:rsid w:val="4A251A07"/>
    <w:rsid w:val="4B9F4176"/>
    <w:rsid w:val="4F4626F3"/>
    <w:rsid w:val="4F541FFE"/>
    <w:rsid w:val="4F5902F9"/>
    <w:rsid w:val="4F9B39AA"/>
    <w:rsid w:val="506C2B19"/>
    <w:rsid w:val="50777BEB"/>
    <w:rsid w:val="5498048B"/>
    <w:rsid w:val="55181E81"/>
    <w:rsid w:val="55A14F6F"/>
    <w:rsid w:val="57223928"/>
    <w:rsid w:val="57572313"/>
    <w:rsid w:val="58373ECD"/>
    <w:rsid w:val="5D211DB5"/>
    <w:rsid w:val="5D252FC1"/>
    <w:rsid w:val="5EA12B9A"/>
    <w:rsid w:val="5FBA1AA4"/>
    <w:rsid w:val="5FC9520A"/>
    <w:rsid w:val="6181075C"/>
    <w:rsid w:val="61D125C8"/>
    <w:rsid w:val="62A80882"/>
    <w:rsid w:val="63691DC0"/>
    <w:rsid w:val="643B4F0D"/>
    <w:rsid w:val="65510D5D"/>
    <w:rsid w:val="66C96E18"/>
    <w:rsid w:val="67366F9E"/>
    <w:rsid w:val="677D5E3A"/>
    <w:rsid w:val="6AD3765D"/>
    <w:rsid w:val="6CDF2E3F"/>
    <w:rsid w:val="6DF51A8E"/>
    <w:rsid w:val="6E7F4B8D"/>
    <w:rsid w:val="731E2CB7"/>
    <w:rsid w:val="794F33AE"/>
    <w:rsid w:val="7BEE7B80"/>
    <w:rsid w:val="7D315490"/>
    <w:rsid w:val="7DDA5D59"/>
    <w:rsid w:val="7EFC4B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spacing w:line="400" w:lineRule="atLeast"/>
      <w:jc w:val="center"/>
      <w:outlineLvl w:val="1"/>
    </w:pPr>
    <w:rPr>
      <w:spacing w:val="8"/>
      <w:sz w:val="36"/>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12" w:lineRule="auto"/>
    </w:pPr>
    <w:rPr>
      <w:rFonts w:ascii="Arial" w:hAnsi="Arial" w:eastAsia="楷体_GB2312"/>
      <w:spacing w:val="20"/>
      <w:sz w:val="24"/>
      <w:szCs w:val="20"/>
    </w:rPr>
  </w:style>
  <w:style w:type="paragraph" w:styleId="4">
    <w:name w:val="Plain Text"/>
    <w:basedOn w:val="1"/>
    <w:qFormat/>
    <w:uiPriority w:val="0"/>
    <w:rPr>
      <w:rFonts w:ascii="宋体" w:hAnsi="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List Paragraph"/>
    <w:basedOn w:val="1"/>
    <w:unhideWhenUsed/>
    <w:qFormat/>
    <w:uiPriority w:val="99"/>
    <w:pPr>
      <w:ind w:firstLine="420" w:firstLineChars="200"/>
    </w:pPr>
  </w:style>
  <w:style w:type="paragraph" w:customStyle="1" w:styleId="17">
    <w:name w:val="纯文本1"/>
    <w:basedOn w:val="1"/>
    <w:qFormat/>
    <w:uiPriority w:val="0"/>
    <w:pPr>
      <w:spacing w:line="360" w:lineRule="auto"/>
    </w:pPr>
    <w:rPr>
      <w:rFonts w:ascii="宋体" w:hAnsi="Courier New" w:cs="Courier New" w:eastAsiaTheme="minorEastAsia"/>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C30B4-3874-4EAB-907F-C95F63792998}">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2501</Words>
  <Characters>14261</Characters>
  <Lines>118</Lines>
  <Paragraphs>33</Paragraphs>
  <TotalTime>3</TotalTime>
  <ScaleCrop>false</ScaleCrop>
  <LinksUpToDate>false</LinksUpToDate>
  <CharactersWithSpaces>16729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2020-07-27T02:13:00Z</dcterms:created>
  <dc:creator>微软用户</dc:creator>
  <cp:lastModifiedBy>春华秋实</cp:lastModifiedBy>
  <dcterms:modified xsi:type="dcterms:W3CDTF">2022-03-17T07:47:53Z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F90B8605125C46DFBD1ADA302EAA73A7</vt:lpwstr>
  </property>
</Properties>
</file>