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color w:val="auto"/>
                <w:sz w:val="24"/>
                <w:szCs w:val="24"/>
                <w:lang w:val="en-US" w:eastAsia="zh-CN"/>
              </w:rPr>
              <w:t>业务部</w:t>
            </w:r>
            <w:r>
              <w:rPr>
                <w:color w:val="auto"/>
                <w:sz w:val="24"/>
                <w:szCs w:val="24"/>
              </w:rPr>
              <w:t xml:space="preserve">   </w:t>
            </w:r>
            <w:r>
              <w:rPr>
                <w:rFonts w:hint="eastAsia"/>
                <w:sz w:val="24"/>
                <w:szCs w:val="24"/>
              </w:rPr>
              <w:t xml:space="preserve">  主管领</w:t>
            </w:r>
            <w:r>
              <w:rPr>
                <w:rFonts w:hint="eastAsia"/>
                <w:color w:val="auto"/>
                <w:sz w:val="24"/>
                <w:szCs w:val="24"/>
              </w:rPr>
              <w:t>导：</w:t>
            </w:r>
            <w:r>
              <w:rPr>
                <w:rFonts w:hint="eastAsia"/>
                <w:color w:val="auto"/>
                <w:sz w:val="24"/>
                <w:szCs w:val="24"/>
                <w:lang w:val="en-US" w:eastAsia="zh-CN"/>
              </w:rPr>
              <w:t xml:space="preserve">宋艳媛  </w:t>
            </w:r>
            <w:r>
              <w:rPr>
                <w:rFonts w:hint="eastAsia"/>
                <w:sz w:val="24"/>
                <w:szCs w:val="24"/>
              </w:rPr>
              <w:t>陪</w:t>
            </w:r>
            <w:r>
              <w:rPr>
                <w:rFonts w:hint="eastAsia"/>
                <w:color w:val="auto"/>
                <w:sz w:val="24"/>
                <w:szCs w:val="24"/>
              </w:rPr>
              <w:t>同人员:</w:t>
            </w:r>
            <w:r>
              <w:rPr>
                <w:rFonts w:hint="eastAsia"/>
                <w:color w:val="auto"/>
              </w:rPr>
              <w:t xml:space="preserve"> </w:t>
            </w:r>
            <w:r>
              <w:rPr>
                <w:rFonts w:hint="eastAsia"/>
                <w:color w:val="auto"/>
                <w:lang w:val="en-US" w:eastAsia="zh-CN"/>
              </w:rPr>
              <w:t>杨东旭</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 xml:space="preserve">审核员：李京田 </w:t>
            </w:r>
            <w:r>
              <w:rPr>
                <w:rFonts w:ascii="宋体" w:hAnsi="宋体" w:cs="宋体"/>
                <w:color w:val="000000"/>
                <w:kern w:val="0"/>
                <w:szCs w:val="21"/>
              </w:rPr>
              <w:t>王新嘉</w:t>
            </w:r>
            <w:r>
              <w:rPr>
                <w:rFonts w:hint="eastAsia"/>
                <w:sz w:val="24"/>
                <w:szCs w:val="24"/>
              </w:rPr>
              <w:t xml:space="preserve">   审核时间：20</w:t>
            </w:r>
            <w:r>
              <w:rPr>
                <w:rFonts w:hint="eastAsia"/>
                <w:sz w:val="24"/>
                <w:szCs w:val="24"/>
                <w:lang w:val="en-US" w:eastAsia="zh-CN"/>
              </w:rPr>
              <w:t>22.3.22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320" w:lineRule="exact"/>
              <w:rPr>
                <w:rFonts w:hint="eastAsia" w:ascii="宋体" w:hAnsi="宋体" w:eastAsia="宋体" w:cs="Times New Roman"/>
                <w:b/>
                <w:bCs/>
                <w:color w:val="auto"/>
                <w:sz w:val="21"/>
                <w:szCs w:val="21"/>
                <w:lang w:val="en-US" w:eastAsia="zh-CN"/>
              </w:rPr>
            </w:pPr>
            <w:r>
              <w:rPr>
                <w:rFonts w:hint="eastAsia"/>
                <w:sz w:val="24"/>
                <w:szCs w:val="24"/>
              </w:rPr>
              <w:t>审核条款：</w:t>
            </w:r>
          </w:p>
          <w:p>
            <w:pPr>
              <w:rPr>
                <w:rFonts w:hint="default" w:eastAsia="宋体"/>
                <w:sz w:val="24"/>
                <w:szCs w:val="24"/>
                <w:lang w:val="en-US" w:eastAsia="zh-CN"/>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r>
              <w:rPr>
                <w:rFonts w:hint="eastAsia" w:cs="Lucida Sans"/>
              </w:rPr>
              <w:t>职责和权限</w:t>
            </w:r>
          </w:p>
        </w:tc>
        <w:tc>
          <w:tcPr>
            <w:tcW w:w="960" w:type="dxa"/>
            <w:vAlign w:val="center"/>
          </w:tcPr>
          <w:p>
            <w:pPr>
              <w:spacing w:line="360" w:lineRule="exact"/>
              <w:rPr>
                <w:szCs w:val="21"/>
              </w:rPr>
            </w:pPr>
            <w:r>
              <w:rPr>
                <w:rFonts w:hint="eastAsia"/>
                <w:szCs w:val="21"/>
              </w:rPr>
              <w:t>E</w:t>
            </w:r>
            <w:r>
              <w:rPr>
                <w:rFonts w:hint="eastAsia"/>
                <w:szCs w:val="21"/>
                <w:lang w:val="en-US" w:eastAsia="zh-CN"/>
              </w:rPr>
              <w:t>S</w:t>
            </w:r>
            <w:r>
              <w:rPr>
                <w:rFonts w:hint="eastAsia"/>
                <w:szCs w:val="21"/>
              </w:rPr>
              <w:t>5.3</w:t>
            </w:r>
          </w:p>
          <w:p/>
        </w:tc>
        <w:tc>
          <w:tcPr>
            <w:tcW w:w="10004" w:type="dxa"/>
          </w:tcPr>
          <w:p>
            <w:pPr>
              <w:ind w:firstLine="420" w:firstLineChars="200"/>
            </w:pPr>
            <w:r>
              <w:rPr>
                <w:rFonts w:hint="eastAsia"/>
              </w:rPr>
              <w:t>负责本部门的环境因素及危险源的辨识；</w:t>
            </w:r>
          </w:p>
          <w:p>
            <w:pPr>
              <w:ind w:firstLine="420" w:firstLineChars="200"/>
            </w:pPr>
            <w:r>
              <w:rPr>
                <w:rFonts w:hint="eastAsia"/>
              </w:rPr>
              <w:t>负责本部门的环境及职业安全的运行工作</w:t>
            </w:r>
          </w:p>
          <w:p>
            <w:pPr>
              <w:ind w:firstLine="420" w:firstLineChars="200"/>
              <w:rPr>
                <w:rFonts w:ascii="宋体" w:hAnsi="宋体" w:cs="宋体"/>
                <w:szCs w:val="21"/>
              </w:rPr>
            </w:pPr>
            <w:r>
              <w:rPr>
                <w:rFonts w:hint="eastAsia" w:ascii="宋体" w:hAnsi="宋体" w:cs="宋体"/>
                <w:szCs w:val="21"/>
              </w:rPr>
              <w:t>负责辨识本部门的法律、法规及其他要求的获取及识别其适用性，</w:t>
            </w:r>
          </w:p>
          <w:p>
            <w:pPr>
              <w:pStyle w:val="2"/>
              <w:rPr>
                <w:rFonts w:ascii="宋体" w:hAnsi="宋体" w:cs="宋体"/>
                <w:bCs w:val="0"/>
                <w:szCs w:val="21"/>
              </w:rPr>
            </w:pPr>
            <w:r>
              <w:rPr>
                <w:rFonts w:hint="eastAsia" w:ascii="宋体" w:hAnsi="宋体" w:cs="宋体"/>
                <w:bCs w:val="0"/>
                <w:szCs w:val="21"/>
              </w:rPr>
              <w:t>负责本部门相关方的识别及管理工作</w:t>
            </w:r>
          </w:p>
          <w:p>
            <w:pPr>
              <w:pStyle w:val="2"/>
              <w:rPr>
                <w:bCs w:val="0"/>
              </w:rPr>
            </w:pPr>
            <w:r>
              <w:rPr>
                <w:rFonts w:hint="eastAsia" w:ascii="宋体" w:hAnsi="宋体" w:cs="宋体"/>
                <w:bCs w:val="0"/>
                <w:szCs w:val="21"/>
              </w:rPr>
              <w:t>参与公司应急预案及演练工作</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r>
              <w:rPr>
                <w:rFonts w:hint="eastAsia" w:cs="Lucida Sans"/>
              </w:rPr>
              <w:t>目标分解及考核，目标指标及管理方案</w:t>
            </w:r>
          </w:p>
        </w:tc>
        <w:tc>
          <w:tcPr>
            <w:tcW w:w="960" w:type="dxa"/>
            <w:vAlign w:val="center"/>
          </w:tcPr>
          <w:p>
            <w:pPr>
              <w:rPr>
                <w:rFonts w:cs="Lucida Sans"/>
              </w:rPr>
            </w:pPr>
          </w:p>
          <w:p>
            <w:pPr>
              <w:rPr>
                <w:rFonts w:cs="Lucida Sans"/>
              </w:rPr>
            </w:pPr>
            <w:r>
              <w:rPr>
                <w:rFonts w:cs="Lucida Sans"/>
              </w:rPr>
              <w:t>E</w:t>
            </w:r>
            <w:r>
              <w:rPr>
                <w:rFonts w:hint="eastAsia" w:cs="Lucida Sans"/>
                <w:lang w:val="en-US" w:eastAsia="zh-CN"/>
              </w:rPr>
              <w:t>S</w:t>
            </w:r>
            <w:r>
              <w:rPr>
                <w:rFonts w:cs="Lucida Sans"/>
              </w:rPr>
              <w:t>6.2</w:t>
            </w:r>
          </w:p>
          <w:p/>
        </w:tc>
        <w:tc>
          <w:tcPr>
            <w:tcW w:w="10004" w:type="dxa"/>
          </w:tcPr>
          <w:p>
            <w:pPr>
              <w:rPr>
                <w:rFonts w:cs="Lucida Sans"/>
              </w:rPr>
            </w:pPr>
            <w:r>
              <w:rPr>
                <w:rFonts w:hint="eastAsia" w:cs="Lucida Sans"/>
              </w:rPr>
              <w:t>部门分解的目标：</w:t>
            </w:r>
          </w:p>
          <w:p>
            <w:pPr>
              <w:pStyle w:val="15"/>
              <w:rPr>
                <w:rFonts w:hint="default" w:eastAsia="宋体"/>
                <w:lang w:val="en-US" w:eastAsia="zh-CN"/>
              </w:rPr>
            </w:pPr>
            <w:r>
              <w:rPr>
                <w:rFonts w:hint="eastAsia"/>
                <w:lang w:val="en-US" w:eastAsia="zh-CN"/>
              </w:rPr>
              <w:t>1、</w:t>
            </w:r>
            <w:r>
              <w:rPr>
                <w:rFonts w:hint="eastAsia"/>
              </w:rPr>
              <w:t>固体废物100%分类处理</w:t>
            </w:r>
            <w:r>
              <w:rPr>
                <w:rFonts w:hint="eastAsia"/>
                <w:lang w:val="en-US" w:eastAsia="zh-CN"/>
              </w:rPr>
              <w:t xml:space="preserve">  统计方法：</w:t>
            </w:r>
            <w:r>
              <w:rPr>
                <w:rFonts w:hint="eastAsia"/>
              </w:rPr>
              <w:t>固废分类处理数÷固废总数x100%</w:t>
            </w:r>
            <w:r>
              <w:rPr>
                <w:rFonts w:hint="eastAsia"/>
                <w:lang w:val="en-US" w:eastAsia="zh-CN"/>
              </w:rPr>
              <w:t xml:space="preserve">  完成情况：100%</w:t>
            </w:r>
          </w:p>
          <w:p>
            <w:pPr>
              <w:pStyle w:val="15"/>
              <w:rPr>
                <w:rFonts w:hint="default" w:eastAsia="宋体"/>
                <w:lang w:val="en-US" w:eastAsia="zh-CN"/>
              </w:rPr>
            </w:pPr>
            <w:r>
              <w:rPr>
                <w:rFonts w:hint="eastAsia"/>
                <w:lang w:val="en-US" w:eastAsia="zh-CN"/>
              </w:rPr>
              <w:t>2、安全</w:t>
            </w:r>
            <w:r>
              <w:rPr>
                <w:rFonts w:hint="eastAsia"/>
              </w:rPr>
              <w:t>事故发生率为零</w:t>
            </w:r>
            <w:r>
              <w:rPr>
                <w:rFonts w:hint="eastAsia"/>
                <w:lang w:val="en-US" w:eastAsia="zh-CN"/>
              </w:rPr>
              <w:t xml:space="preserve">  </w:t>
            </w:r>
            <w:r>
              <w:rPr>
                <w:rFonts w:hint="eastAsia" w:hAnsi="宋体"/>
                <w:lang w:val="en-US" w:eastAsia="zh-CN"/>
              </w:rPr>
              <w:t xml:space="preserve"> </w:t>
            </w:r>
            <w:r>
              <w:rPr>
                <w:rFonts w:hint="eastAsia"/>
                <w:lang w:val="en-US" w:eastAsia="zh-CN"/>
              </w:rPr>
              <w:t>统计方法：按实际发生数  完成情况：0</w:t>
            </w:r>
          </w:p>
          <w:p>
            <w:pPr>
              <w:rPr>
                <w:rFonts w:cs="Lucida Sans"/>
              </w:rPr>
            </w:pPr>
            <w:r>
              <w:rPr>
                <w:rFonts w:hint="eastAsia" w:cs="Lucida Sans"/>
              </w:rPr>
              <w:t>考核人：</w:t>
            </w:r>
            <w:r>
              <w:rPr>
                <w:rFonts w:hint="eastAsia"/>
                <w:color w:val="auto"/>
                <w:sz w:val="24"/>
                <w:szCs w:val="24"/>
                <w:lang w:eastAsia="zh-CN"/>
              </w:rPr>
              <w:t>杨东旭</w:t>
            </w:r>
            <w:r>
              <w:rPr>
                <w:rFonts w:hint="eastAsia" w:cs="Lucida Sans"/>
                <w:color w:val="auto"/>
              </w:rPr>
              <w:t>，环</w:t>
            </w:r>
            <w:r>
              <w:rPr>
                <w:rFonts w:hint="eastAsia" w:cs="Lucida Sans"/>
              </w:rPr>
              <w:t>境、职业健康安全目标标均完成，目标适宜。</w:t>
            </w:r>
          </w:p>
          <w:p>
            <w:pPr>
              <w:ind w:firstLine="420" w:firstLineChars="200"/>
              <w:rPr>
                <w:rFonts w:ascii="宋体" w:hAnsi="宋体" w:cs="宋体"/>
                <w:szCs w:val="21"/>
              </w:rPr>
            </w:pPr>
            <w:r>
              <w:rPr>
                <w:rFonts w:hint="eastAsia" w:ascii="宋体" w:hAnsi="宋体" w:cs="宋体"/>
                <w:szCs w:val="21"/>
              </w:rPr>
              <w:t>对可回收废弃物、危险废弃物分类管理，并集中收集和处理，完成了部门该项环境目标和指标。</w:t>
            </w:r>
          </w:p>
          <w:p>
            <w:pPr>
              <w:ind w:firstLine="420" w:firstLineChars="200"/>
              <w:rPr>
                <w:rFonts w:ascii="宋体" w:hAnsi="宋体" w:cs="宋体"/>
                <w:szCs w:val="21"/>
              </w:rPr>
            </w:pPr>
            <w:r>
              <w:rPr>
                <w:rFonts w:hint="eastAsia" w:ascii="宋体" w:hAnsi="宋体" w:cs="宋体"/>
                <w:szCs w:val="21"/>
              </w:rPr>
              <w:t>无任何安全事故发生，完成了部门该项职业健康安全目标。</w:t>
            </w:r>
          </w:p>
          <w:p>
            <w:pPr>
              <w:ind w:firstLine="420" w:firstLineChars="200"/>
              <w:rPr>
                <w:szCs w:val="21"/>
              </w:rPr>
            </w:pPr>
            <w:r>
              <w:rPr>
                <w:rFonts w:hint="eastAsia"/>
                <w:szCs w:val="21"/>
              </w:rPr>
              <w:t>按照季度进行考核，提供了</w:t>
            </w:r>
            <w:r>
              <w:rPr>
                <w:rFonts w:hint="eastAsia"/>
                <w:szCs w:val="21"/>
                <w:lang w:val="en-US" w:eastAsia="zh-CN"/>
              </w:rPr>
              <w:t>2021.10-2022.2</w:t>
            </w:r>
            <w:r>
              <w:rPr>
                <w:rFonts w:hint="eastAsia"/>
                <w:szCs w:val="21"/>
              </w:rPr>
              <w:t>月份目标考核表，</w:t>
            </w:r>
          </w:p>
          <w:p>
            <w:pPr>
              <w:ind w:firstLine="420" w:firstLineChars="200"/>
              <w:rPr>
                <w:szCs w:val="21"/>
              </w:rPr>
            </w:pPr>
            <w:r>
              <w:rPr>
                <w:rFonts w:hint="eastAsia"/>
                <w:szCs w:val="21"/>
              </w:rPr>
              <w:t>经查显示目标均已完成。</w:t>
            </w:r>
          </w:p>
          <w:p>
            <w:pPr>
              <w:ind w:firstLine="420" w:firstLineChars="200"/>
              <w:rPr>
                <w:szCs w:val="21"/>
              </w:rPr>
            </w:pPr>
            <w:r>
              <w:rPr>
                <w:rFonts w:hint="eastAsia"/>
                <w:szCs w:val="21"/>
                <w:lang w:val="en-US" w:eastAsia="zh-CN"/>
              </w:rPr>
              <w:t>查</w:t>
            </w:r>
            <w:r>
              <w:rPr>
                <w:rFonts w:hint="eastAsia"/>
                <w:szCs w:val="21"/>
              </w:rPr>
              <w:t>管理方案：</w:t>
            </w:r>
          </w:p>
          <w:p>
            <w:pPr>
              <w:ind w:left="210" w:leftChars="100" w:firstLine="210" w:firstLineChars="100"/>
              <w:rPr>
                <w:rFonts w:ascii="宋体" w:hAnsi="宋体" w:cs="宋体"/>
                <w:szCs w:val="21"/>
              </w:rPr>
            </w:pPr>
            <w:r>
              <w:rPr>
                <w:rFonts w:hint="eastAsia" w:ascii="宋体" w:hAnsi="宋体" w:cs="宋体"/>
                <w:szCs w:val="21"/>
              </w:rPr>
              <w:t>环境和职业健康安全体系建立了管理方案，查管理方案表，共</w:t>
            </w:r>
            <w:r>
              <w:rPr>
                <w:rFonts w:ascii="宋体" w:hAnsi="宋体" w:cs="宋体"/>
                <w:szCs w:val="21"/>
              </w:rPr>
              <w:t>3</w:t>
            </w:r>
            <w:r>
              <w:rPr>
                <w:rFonts w:hint="eastAsia" w:ascii="宋体" w:hAnsi="宋体" w:cs="宋体"/>
                <w:szCs w:val="21"/>
              </w:rPr>
              <w:t>项： 1、办公用硒鼓、墨盒等固废；办公废弃物等分类收集保管，交由相应部门处置；</w:t>
            </w:r>
          </w:p>
          <w:p>
            <w:pPr>
              <w:ind w:firstLine="420" w:firstLineChars="200"/>
              <w:rPr>
                <w:szCs w:val="21"/>
              </w:rPr>
            </w:pPr>
            <w:r>
              <w:rPr>
                <w:rFonts w:hint="eastAsia" w:ascii="宋体" w:hAnsi="宋体" w:cs="宋体"/>
                <w:szCs w:val="21"/>
              </w:rPr>
              <w:t>2、杜绝火灾发生，制定了管理方案:</w:t>
            </w:r>
            <w:r>
              <w:rPr>
                <w:rFonts w:hint="eastAsia"/>
              </w:rPr>
              <w:t xml:space="preserve"> </w:t>
            </w:r>
            <w:r>
              <w:rPr>
                <w:rFonts w:hint="eastAsia" w:ascii="宋体" w:hAnsi="宋体" w:cs="宋体"/>
                <w:szCs w:val="21"/>
              </w:rPr>
              <w:t>制定3项管理方案：.制定相应的管理制度并严格执行，配备必要的防火设施（包括灭火器</w:t>
            </w:r>
            <w:r>
              <w:rPr>
                <w:rFonts w:ascii="宋体" w:hAnsi="宋体" w:cs="宋体"/>
                <w:szCs w:val="21"/>
              </w:rPr>
              <w:t>a</w:t>
            </w:r>
            <w:r>
              <w:rPr>
                <w:rFonts w:hint="eastAsia" w:ascii="宋体" w:hAnsi="宋体" w:cs="宋体"/>
                <w:szCs w:val="21"/>
              </w:rPr>
              <w:t>、消防栓等）</w:t>
            </w:r>
            <w:r>
              <w:rPr>
                <w:rFonts w:hint="eastAsia"/>
                <w:szCs w:val="21"/>
              </w:rPr>
              <w:t>并保证其完好</w:t>
            </w:r>
          </w:p>
          <w:p>
            <w:pPr>
              <w:ind w:firstLine="420" w:firstLineChars="200"/>
              <w:rPr>
                <w:szCs w:val="21"/>
              </w:rPr>
            </w:pPr>
            <w:r>
              <w:rPr>
                <w:rFonts w:hint="eastAsia"/>
                <w:szCs w:val="21"/>
              </w:rPr>
              <w:t>b. 成立应急响应工作小组（见《应急预案》）</w:t>
            </w:r>
          </w:p>
          <w:p>
            <w:pPr>
              <w:ind w:firstLine="420" w:firstLineChars="200"/>
              <w:rPr>
                <w:rFonts w:hint="eastAsia" w:eastAsia="宋体"/>
                <w:szCs w:val="21"/>
                <w:lang w:eastAsia="zh-CN"/>
              </w:rPr>
            </w:pPr>
            <w:r>
              <w:rPr>
                <w:rFonts w:hint="eastAsia"/>
                <w:szCs w:val="21"/>
              </w:rPr>
              <w:t>c. 淘汰过期、报废设备,对灭火器更新；每年进行一次消防演习。执行部门：各部门，检查人：</w:t>
            </w:r>
            <w:r>
              <w:rPr>
                <w:rFonts w:hint="eastAsia" w:ascii="宋体" w:hAnsi="宋体"/>
                <w:szCs w:val="21"/>
                <w:lang w:eastAsia="zh-CN"/>
              </w:rPr>
              <w:t>杨东旭</w:t>
            </w:r>
            <w:r>
              <w:rPr>
                <w:rFonts w:hint="eastAsia"/>
                <w:szCs w:val="21"/>
              </w:rPr>
              <w:t>，资金投入7000元，责任人：</w:t>
            </w:r>
            <w:r>
              <w:rPr>
                <w:rFonts w:hint="eastAsia" w:ascii="宋体" w:hAnsi="宋体"/>
                <w:szCs w:val="21"/>
                <w:lang w:eastAsia="zh-CN"/>
              </w:rPr>
              <w:t>杨东旭</w:t>
            </w:r>
            <w:r>
              <w:rPr>
                <w:rFonts w:hint="eastAsia"/>
                <w:szCs w:val="21"/>
              </w:rPr>
              <w:t>，执行日期：</w:t>
            </w:r>
            <w:r>
              <w:rPr>
                <w:rFonts w:hint="eastAsia"/>
                <w:szCs w:val="21"/>
                <w:lang w:val="en-US" w:eastAsia="zh-CN"/>
              </w:rPr>
              <w:t>长期</w:t>
            </w:r>
          </w:p>
          <w:p>
            <w:pPr>
              <w:ind w:firstLine="420" w:firstLineChars="200"/>
              <w:rPr>
                <w:szCs w:val="21"/>
              </w:rPr>
            </w:pPr>
            <w:r>
              <w:rPr>
                <w:rFonts w:hint="eastAsia"/>
                <w:szCs w:val="21"/>
              </w:rPr>
              <w:t>3、电线老化引发火灾、临时接电触电,管理方案：a、电线检修        b、对职工进行安全教育培训。</w:t>
            </w:r>
          </w:p>
          <w:p>
            <w:pPr>
              <w:ind w:firstLine="420" w:firstLineChars="200"/>
              <w:rPr>
                <w:rFonts w:hint="eastAsia" w:eastAsia="宋体"/>
                <w:szCs w:val="21"/>
                <w:lang w:eastAsia="zh-CN"/>
              </w:rPr>
            </w:pPr>
            <w:r>
              <w:rPr>
                <w:rFonts w:hint="eastAsia"/>
                <w:szCs w:val="21"/>
              </w:rPr>
              <w:t>资金预算费1万元，执行部门：各部门，责任人：</w:t>
            </w:r>
            <w:r>
              <w:rPr>
                <w:rFonts w:hint="eastAsia" w:ascii="宋体" w:hAnsi="宋体"/>
                <w:szCs w:val="21"/>
                <w:lang w:eastAsia="zh-CN"/>
              </w:rPr>
              <w:t>杨东旭</w:t>
            </w:r>
            <w:r>
              <w:rPr>
                <w:rFonts w:hint="eastAsia"/>
                <w:szCs w:val="21"/>
              </w:rPr>
              <w:t>，执行日期：</w:t>
            </w:r>
            <w:r>
              <w:rPr>
                <w:rFonts w:hint="eastAsia"/>
                <w:szCs w:val="21"/>
                <w:lang w:val="en-US" w:eastAsia="zh-CN"/>
              </w:rPr>
              <w:t>长期</w:t>
            </w:r>
          </w:p>
          <w:p>
            <w:pPr>
              <w:ind w:firstLine="420" w:firstLineChars="200"/>
              <w:rPr>
                <w:szCs w:val="21"/>
              </w:rPr>
            </w:pPr>
            <w:r>
              <w:rPr>
                <w:rFonts w:hint="eastAsia"/>
                <w:szCs w:val="21"/>
              </w:rPr>
              <w:t>上述目标、指标进行考核，考核结果：全部达标，考核人：</w:t>
            </w:r>
            <w:r>
              <w:rPr>
                <w:rFonts w:hint="eastAsia"/>
                <w:lang w:val="zh-CN"/>
              </w:rPr>
              <w:t>杨东旭</w:t>
            </w:r>
            <w:r>
              <w:rPr>
                <w:rFonts w:hint="eastAsia"/>
                <w:szCs w:val="21"/>
              </w:rPr>
              <w:t>。</w:t>
            </w:r>
          </w:p>
          <w:p>
            <w:r>
              <w:rPr>
                <w:rFonts w:hint="eastAsia"/>
                <w:szCs w:val="21"/>
              </w:rPr>
              <w:t>制定的指标和管理方案基本可行。</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szCs w:val="21"/>
              </w:rPr>
            </w:pPr>
          </w:p>
          <w:p>
            <w:pPr>
              <w:rPr>
                <w:szCs w:val="21"/>
              </w:rPr>
            </w:pPr>
          </w:p>
          <w:p>
            <w:r>
              <w:rPr>
                <w:rFonts w:hint="eastAsia"/>
                <w:szCs w:val="21"/>
              </w:rPr>
              <w:t>环境因素、危险源识别</w:t>
            </w:r>
          </w:p>
        </w:tc>
        <w:tc>
          <w:tcPr>
            <w:tcW w:w="960" w:type="dxa"/>
            <w:vAlign w:val="center"/>
          </w:tcPr>
          <w:p>
            <w:pPr>
              <w:rPr>
                <w:szCs w:val="21"/>
              </w:rPr>
            </w:pPr>
            <w:r>
              <w:rPr>
                <w:rFonts w:hint="eastAsia"/>
                <w:szCs w:val="21"/>
              </w:rPr>
              <w:t>E</w:t>
            </w:r>
            <w:r>
              <w:rPr>
                <w:rFonts w:hint="eastAsia"/>
                <w:szCs w:val="21"/>
                <w:lang w:val="en-US" w:eastAsia="zh-CN"/>
              </w:rPr>
              <w:t>S</w:t>
            </w:r>
            <w:r>
              <w:rPr>
                <w:rFonts w:hint="eastAsia"/>
                <w:szCs w:val="21"/>
              </w:rPr>
              <w:t>6.1.2</w:t>
            </w:r>
          </w:p>
          <w:p/>
        </w:tc>
        <w:tc>
          <w:tcPr>
            <w:tcW w:w="10004" w:type="dxa"/>
            <w:vAlign w:val="center"/>
          </w:tcPr>
          <w:p>
            <w:pPr>
              <w:spacing w:line="394" w:lineRule="exact"/>
              <w:ind w:firstLine="420" w:firstLineChars="200"/>
              <w:rPr>
                <w:szCs w:val="21"/>
              </w:rPr>
            </w:pPr>
            <w:r>
              <w:rPr>
                <w:rFonts w:hint="eastAsia"/>
                <w:szCs w:val="21"/>
              </w:rPr>
              <w:t>编制了</w:t>
            </w:r>
            <w:r>
              <w:rPr>
                <w:szCs w:val="21"/>
              </w:rPr>
              <w:t>《环境因素的识别与评价控制程序》《危险源辩识、风险评价和风险控制策划程序》</w:t>
            </w:r>
            <w:r>
              <w:rPr>
                <w:rFonts w:hint="eastAsia"/>
                <w:szCs w:val="21"/>
              </w:rPr>
              <w:t>符合标准要求.</w:t>
            </w:r>
          </w:p>
          <w:p>
            <w:pPr>
              <w:rPr>
                <w:rFonts w:ascii="宋体" w:hAnsi="宋体" w:cs="宋体"/>
                <w:kern w:val="0"/>
                <w:szCs w:val="21"/>
              </w:rPr>
            </w:pPr>
            <w:r>
              <w:rPr>
                <w:rFonts w:hint="eastAsia"/>
                <w:szCs w:val="21"/>
              </w:rPr>
              <w:t>提供的“环境因素识别评价表”“重要环境因素清单”， 评价考虑了三种时态现在、过去、将来、三种状态、异常、正常、紧急考虑了法律法规，并进行了评价，</w:t>
            </w:r>
            <w:r>
              <w:rPr>
                <w:rFonts w:hint="eastAsia" w:ascii="宋体" w:hAnsi="宋体" w:cs="宋体"/>
                <w:kern w:val="0"/>
                <w:szCs w:val="21"/>
              </w:rPr>
              <w:t>相关环境管理活动</w:t>
            </w:r>
          </w:p>
          <w:p>
            <w:pPr>
              <w:ind w:firstLine="420" w:firstLineChars="200"/>
              <w:rPr>
                <w:szCs w:val="21"/>
              </w:rPr>
            </w:pPr>
            <w:r>
              <w:rPr>
                <w:rFonts w:hint="eastAsia"/>
                <w:szCs w:val="21"/>
              </w:rPr>
              <w:t>服务过程，用打分法考虑了法规符合性、发生频次、影响范围等, 通过定性判断法，共识别出重大环境因素</w:t>
            </w:r>
            <w:r>
              <w:rPr>
                <w:szCs w:val="21"/>
              </w:rPr>
              <w:t>2</w:t>
            </w:r>
            <w:r>
              <w:rPr>
                <w:rFonts w:hint="eastAsia"/>
                <w:szCs w:val="21"/>
              </w:rPr>
              <w:t>项：固废排放、火灾，评价符合程序要求及公司的实际情况。</w:t>
            </w:r>
          </w:p>
          <w:p>
            <w:pPr>
              <w:ind w:firstLine="420" w:firstLineChars="200"/>
              <w:rPr>
                <w:szCs w:val="21"/>
              </w:rPr>
            </w:pPr>
            <w:r>
              <w:rPr>
                <w:rFonts w:hint="eastAsia"/>
                <w:szCs w:val="21"/>
              </w:rPr>
              <w:t>对重要环境因素的控制措施包括制定管理制度、监督检查、应急预案、培训等。提供《重要环境因素识别清单》，其中综合办涉及的重要环境因素：固废排放、意外火灾的发生，评价基本合理。</w:t>
            </w:r>
          </w:p>
          <w:p>
            <w:pPr>
              <w:ind w:firstLine="420" w:firstLineChars="200"/>
              <w:rPr>
                <w:szCs w:val="21"/>
              </w:rPr>
            </w:pPr>
            <w:r>
              <w:rPr>
                <w:rFonts w:hint="eastAsia"/>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szCs w:val="21"/>
              </w:rPr>
            </w:pPr>
            <w:r>
              <w:rPr>
                <w:rFonts w:hint="eastAsia"/>
                <w:szCs w:val="21"/>
              </w:rPr>
              <w:t>提供的：“危险源识别与风险评价表”“不可接受风险源清单”， 评价考虑了将来、状态、可能导致的事件，并进行了评价，用打分法考虑了法规符合性、发生频次、影响范围等, 通过是非法，共识别出不可接受风险3项，涉及：火灾和触电、意外伤害。评价符合程序要求及公司的实际情况。对危险源的控制措施包括制定管理制度、监督检查、应急预案、培训等。</w:t>
            </w:r>
          </w:p>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2160" w:type="dxa"/>
            <w:vAlign w:val="center"/>
          </w:tcPr>
          <w:p>
            <w:r>
              <w:rPr>
                <w:rFonts w:cs="Lucida Sans"/>
              </w:rPr>
              <w:t>环境和职业健康安全运行控制</w:t>
            </w:r>
          </w:p>
        </w:tc>
        <w:tc>
          <w:tcPr>
            <w:tcW w:w="960" w:type="dxa"/>
            <w:vAlign w:val="center"/>
          </w:tcPr>
          <w:p>
            <w:pPr>
              <w:rPr>
                <w:rFonts w:cs="Lucida Sans"/>
              </w:rPr>
            </w:pPr>
            <w:r>
              <w:rPr>
                <w:rFonts w:hint="eastAsia" w:cs="Lucida Sans"/>
              </w:rPr>
              <w:t>E</w:t>
            </w:r>
            <w:r>
              <w:rPr>
                <w:rFonts w:hint="eastAsia" w:cs="Lucida Sans"/>
                <w:lang w:val="en-US" w:eastAsia="zh-CN"/>
              </w:rPr>
              <w:t>S</w:t>
            </w:r>
            <w:r>
              <w:rPr>
                <w:rFonts w:cs="Lucida Sans"/>
              </w:rPr>
              <w:t>8.1</w:t>
            </w:r>
          </w:p>
          <w:p/>
        </w:tc>
        <w:tc>
          <w:tcPr>
            <w:tcW w:w="10004" w:type="dxa"/>
            <w:vAlign w:val="top"/>
          </w:tcPr>
          <w:p>
            <w:pPr>
              <w:rPr>
                <w:color w:val="auto"/>
              </w:rPr>
            </w:pPr>
            <w:r>
              <w:rPr>
                <w:rFonts w:hint="eastAsia"/>
                <w:color w:val="auto"/>
              </w:rPr>
              <w:t>1、公司制定并执行“环境及职业健康安全运行控制程序”、“环境管理制度”、“安全检查制度”、“能源消耗考核管理制度”等。</w:t>
            </w:r>
          </w:p>
          <w:p>
            <w:pPr>
              <w:rPr>
                <w:rFonts w:hint="eastAsia"/>
                <w:color w:val="auto"/>
              </w:rPr>
            </w:pPr>
            <w:r>
              <w:rPr>
                <w:rFonts w:hint="eastAsia"/>
                <w:color w:val="auto"/>
              </w:rPr>
              <w:t>2、废水</w:t>
            </w:r>
          </w:p>
          <w:p>
            <w:pPr>
              <w:pStyle w:val="2"/>
              <w:rPr>
                <w:rFonts w:hint="eastAsia"/>
                <w:color w:val="auto"/>
              </w:rPr>
            </w:pPr>
            <w:r>
              <w:rPr>
                <w:rFonts w:hint="eastAsia"/>
                <w:color w:val="auto"/>
                <w:lang w:val="en-US" w:eastAsia="zh-CN"/>
              </w:rPr>
              <w:t>运输不产生废水，</w:t>
            </w:r>
            <w:r>
              <w:rPr>
                <w:rFonts w:hint="eastAsia"/>
                <w:color w:val="auto"/>
              </w:rPr>
              <w:t>生活废水：排放到化粪池后通过第三方转放到污水处理厂</w:t>
            </w:r>
          </w:p>
          <w:p>
            <w:pPr>
              <w:pStyle w:val="2"/>
              <w:numPr>
                <w:ilvl w:val="0"/>
                <w:numId w:val="1"/>
              </w:numPr>
              <w:rPr>
                <w:rFonts w:hint="eastAsia" w:ascii="宋体" w:hAnsi="宋体"/>
                <w:b w:val="0"/>
                <w:bCs w:val="0"/>
                <w:color w:val="auto"/>
              </w:rPr>
            </w:pPr>
            <w:r>
              <w:rPr>
                <w:rFonts w:hint="eastAsia" w:ascii="宋体" w:hAnsi="宋体"/>
                <w:b w:val="0"/>
                <w:bCs w:val="0"/>
                <w:color w:val="auto"/>
              </w:rPr>
              <w:t>废气</w:t>
            </w:r>
          </w:p>
          <w:p>
            <w:pPr>
              <w:pStyle w:val="2"/>
              <w:numPr>
                <w:ilvl w:val="0"/>
                <w:numId w:val="0"/>
              </w:numPr>
              <w:rPr>
                <w:rFonts w:hint="default" w:ascii="宋体" w:hAnsi="宋体" w:eastAsia="宋体"/>
                <w:b w:val="0"/>
                <w:bCs w:val="0"/>
                <w:color w:val="auto"/>
                <w:lang w:val="en-US" w:eastAsia="zh-CN"/>
              </w:rPr>
            </w:pPr>
            <w:r>
              <w:rPr>
                <w:rFonts w:hint="eastAsia" w:ascii="宋体" w:hAnsi="宋体"/>
                <w:b w:val="0"/>
                <w:bCs w:val="0"/>
                <w:color w:val="auto"/>
                <w:lang w:val="en-US" w:eastAsia="zh-CN"/>
              </w:rPr>
              <w:t>汽车均经过检测，尾气达标排放</w:t>
            </w:r>
          </w:p>
          <w:p>
            <w:pPr>
              <w:pStyle w:val="2"/>
              <w:numPr>
                <w:ilvl w:val="0"/>
                <w:numId w:val="2"/>
              </w:numPr>
              <w:rPr>
                <w:rFonts w:hint="eastAsia" w:ascii="宋体" w:hAnsi="宋体"/>
                <w:b w:val="0"/>
                <w:bCs w:val="0"/>
                <w:color w:val="auto"/>
              </w:rPr>
            </w:pPr>
            <w:r>
              <w:rPr>
                <w:rFonts w:hint="eastAsia" w:ascii="宋体" w:hAnsi="宋体"/>
                <w:b w:val="0"/>
                <w:bCs w:val="0"/>
                <w:color w:val="auto"/>
              </w:rPr>
              <w:t>固废</w:t>
            </w:r>
          </w:p>
          <w:p>
            <w:pPr>
              <w:rPr>
                <w:rFonts w:hint="eastAsia" w:ascii="宋体" w:hAnsi="宋体"/>
                <w:b w:val="0"/>
                <w:bCs w:val="0"/>
                <w:color w:val="auto"/>
                <w:szCs w:val="21"/>
              </w:rPr>
            </w:pPr>
            <w:r>
              <w:rPr>
                <w:rFonts w:hint="eastAsia" w:ascii="宋体" w:hAnsi="宋体"/>
                <w:b w:val="0"/>
                <w:bCs w:val="0"/>
                <w:color w:val="auto"/>
              </w:rPr>
              <w:t>产生废气的纸屑、果皮等垃圾，统一交环卫进行收集处理。</w:t>
            </w:r>
          </w:p>
          <w:p>
            <w:pPr>
              <w:pStyle w:val="2"/>
              <w:rPr>
                <w:rFonts w:hint="eastAsia" w:ascii="宋体" w:hAnsi="宋体"/>
                <w:b w:val="0"/>
                <w:bCs w:val="0"/>
                <w:color w:val="auto"/>
              </w:rPr>
            </w:pPr>
            <w:r>
              <w:rPr>
                <w:rFonts w:hint="eastAsia" w:ascii="宋体" w:hAnsi="宋体"/>
                <w:b w:val="0"/>
                <w:bCs w:val="0"/>
                <w:color w:val="auto"/>
              </w:rPr>
              <w:t>办公墨盒、电池等由厂家回收</w:t>
            </w:r>
          </w:p>
          <w:p>
            <w:pPr>
              <w:numPr>
                <w:ilvl w:val="0"/>
                <w:numId w:val="2"/>
              </w:numPr>
              <w:rPr>
                <w:rFonts w:hint="eastAsia" w:cs="Lucida Sans"/>
                <w:bCs/>
                <w:color w:val="auto"/>
              </w:rPr>
            </w:pPr>
            <w:r>
              <w:rPr>
                <w:rFonts w:hint="eastAsia" w:cs="Lucida Sans"/>
                <w:bCs/>
                <w:color w:val="auto"/>
                <w:lang w:val="en-US" w:eastAsia="zh-CN"/>
              </w:rPr>
              <w:t>噪音管理：无设备不产生噪声，汽车在行驶中，按照规定驾驶。</w:t>
            </w:r>
          </w:p>
          <w:p>
            <w:pPr>
              <w:numPr>
                <w:ilvl w:val="0"/>
                <w:numId w:val="2"/>
              </w:numPr>
              <w:rPr>
                <w:rFonts w:hint="eastAsia" w:cs="Lucida Sans"/>
                <w:bCs/>
                <w:color w:val="auto"/>
              </w:rPr>
            </w:pPr>
            <w:r>
              <w:rPr>
                <w:rFonts w:hint="eastAsia" w:cs="Lucida Sans"/>
                <w:bCs/>
                <w:color w:val="auto"/>
              </w:rPr>
              <w:t>能资源管理：公司规定人走灯灭，人走关水等节能节水措施，并互相监督</w:t>
            </w:r>
          </w:p>
          <w:p>
            <w:pPr>
              <w:rPr>
                <w:rFonts w:hint="eastAsia"/>
                <w:color w:val="auto"/>
              </w:rPr>
            </w:pPr>
            <w:r>
              <w:rPr>
                <w:rFonts w:hint="eastAsia"/>
                <w:color w:val="auto"/>
              </w:rPr>
              <w:t>6、办公区域:，</w:t>
            </w:r>
            <w:r>
              <w:rPr>
                <w:rFonts w:hint="eastAsia"/>
                <w:color w:val="auto"/>
                <w:lang w:eastAsia="zh-CN"/>
              </w:rPr>
              <w:t>远程</w:t>
            </w:r>
            <w:r>
              <w:rPr>
                <w:rFonts w:hint="eastAsia"/>
                <w:color w:val="auto"/>
              </w:rPr>
              <w:t>查看办公区域环境整洁、宽敞、办公设备状态良好、</w:t>
            </w:r>
          </w:p>
          <w:p>
            <w:pPr>
              <w:rPr>
                <w:color w:val="auto"/>
              </w:rPr>
            </w:pPr>
            <w:r>
              <w:rPr>
                <w:rFonts w:hint="eastAsia"/>
                <w:color w:val="auto"/>
              </w:rPr>
              <w:t>7、工作时间平均每天不超过8小时。</w:t>
            </w:r>
          </w:p>
          <w:p>
            <w:pPr>
              <w:rPr>
                <w:rFonts w:hint="eastAsia"/>
                <w:color w:val="auto"/>
              </w:rPr>
            </w:pPr>
            <w:r>
              <w:rPr>
                <w:rFonts w:hint="eastAsia"/>
                <w:color w:val="auto"/>
              </w:rPr>
              <w:t>8、</w:t>
            </w:r>
            <w:r>
              <w:rPr>
                <w:rFonts w:hint="eastAsia"/>
                <w:color w:val="auto"/>
                <w:lang w:val="en-US" w:eastAsia="zh-CN"/>
              </w:rPr>
              <w:t>现场</w:t>
            </w:r>
            <w:r>
              <w:rPr>
                <w:rFonts w:hint="eastAsia"/>
                <w:color w:val="auto"/>
              </w:rPr>
              <w:t>查看办公区域，整洁、光线充足、室内空气良好、配置有空调，办公条件较好，办公设备安全状态良好，教育员工正确使用办公设备，用电基本规范，无乱拉线现象，防止火灾发生。</w:t>
            </w:r>
          </w:p>
          <w:p>
            <w:pPr>
              <w:rPr>
                <w:rFonts w:hint="eastAsia"/>
                <w:color w:val="auto"/>
              </w:rPr>
            </w:pPr>
            <w:r>
              <w:rPr>
                <w:color w:val="auto"/>
              </w:rPr>
              <w:t>9</w:t>
            </w:r>
            <w:r>
              <w:rPr>
                <w:rFonts w:hint="eastAsia"/>
                <w:color w:val="auto"/>
              </w:rPr>
              <w:t>、相关方施加影响：公司能够控制或能够施加影响的相关方有顾客等。提供了“致相关方的公开信”，将公司的环境/安全控制要求发放到了所有相关方:运输公司\供应商\外来员工等</w:t>
            </w:r>
          </w:p>
          <w:p>
            <w:pPr>
              <w:rPr>
                <w:rFonts w:hint="eastAsia"/>
                <w:color w:val="auto"/>
              </w:rPr>
            </w:pPr>
            <w:r>
              <w:rPr>
                <w:color w:val="auto"/>
              </w:rPr>
              <w:t>10</w:t>
            </w:r>
            <w:r>
              <w:rPr>
                <w:rFonts w:hint="eastAsia"/>
                <w:color w:val="auto"/>
              </w:rPr>
              <w:t>、驾驶员要求遵守道路交通安全法规，不违章驾车，驾驶证和车辆定期年审，确保行车安全。</w:t>
            </w:r>
          </w:p>
          <w:p>
            <w:pPr>
              <w:pStyle w:val="2"/>
              <w:rPr>
                <w:rFonts w:hint="default" w:eastAsia="宋体"/>
                <w:color w:val="auto"/>
                <w:lang w:val="en-US" w:eastAsia="zh-CN"/>
              </w:rPr>
            </w:pPr>
            <w:r>
              <w:rPr>
                <w:rFonts w:hint="eastAsia"/>
                <w:color w:val="auto"/>
                <w:lang w:val="en-US" w:eastAsia="zh-CN"/>
              </w:rPr>
              <w:t>11.公司给员工每年进行体检，见到体检报告，给员工上社保，见到社保缴费记录</w:t>
            </w:r>
          </w:p>
          <w:p>
            <w:pPr>
              <w:rPr>
                <w:rFonts w:hint="eastAsia"/>
                <w:color w:val="auto"/>
                <w:lang w:val="en-US" w:eastAsia="zh-CN"/>
              </w:rPr>
            </w:pPr>
            <w:r>
              <w:rPr>
                <w:rFonts w:hint="eastAsia"/>
                <w:color w:val="auto"/>
                <w:lang w:val="en-US" w:eastAsia="zh-CN"/>
              </w:rPr>
              <w:t>12、火灾控制:（1）公司办公区域配置有相应数量的灭火器和消防栓，经常检查灭火器材的状况，消防水龙头是否正常，灭火器压力是否足够等。发现问题立即解决，并做好记录;（2）经常检查，及时发现火险隐患并作出正确处理。</w:t>
            </w:r>
          </w:p>
          <w:p>
            <w:pPr>
              <w:rPr>
                <w:rFonts w:hint="eastAsia"/>
                <w:color w:val="auto"/>
                <w:lang w:val="en-US" w:eastAsia="zh-CN"/>
              </w:rPr>
            </w:pPr>
            <w:r>
              <w:rPr>
                <w:rFonts w:hint="eastAsia"/>
                <w:color w:val="auto"/>
                <w:lang w:val="en-US" w:eastAsia="zh-CN"/>
              </w:rPr>
              <w:t>13、随时检查清理办公场所管理远程，可燃物不随意堆积，如有堆积必须配备相应的灭火器材;;</w:t>
            </w:r>
          </w:p>
          <w:p>
            <w:pPr>
              <w:numPr>
                <w:ilvl w:val="0"/>
                <w:numId w:val="0"/>
              </w:numPr>
              <w:ind w:leftChars="0"/>
              <w:rPr>
                <w:rFonts w:hint="eastAsia" w:ascii="Times New Roman" w:hAnsi="Times New Roman" w:eastAsia="宋体" w:cs="Lucida Sans"/>
                <w:b w:val="0"/>
                <w:bCs/>
                <w:color w:val="auto"/>
                <w:szCs w:val="20"/>
              </w:rPr>
            </w:pPr>
            <w:r>
              <w:rPr>
                <w:rFonts w:hint="eastAsia" w:cs="Lucida Sans"/>
                <w:b w:val="0"/>
                <w:bCs/>
                <w:color w:val="auto"/>
                <w:szCs w:val="20"/>
                <w:lang w:val="en-US" w:eastAsia="zh-CN"/>
              </w:rPr>
              <w:t>14、触电管理：随时对电气线路进行检查，防止因短路、过载和接触电阻过大等原因产生电火花或引起电线电缆温度过高而引发火灾。同时电动机机壳必须装有良好的接地保护;</w:t>
            </w:r>
          </w:p>
          <w:p>
            <w:pPr>
              <w:pStyle w:val="2"/>
              <w:rPr>
                <w:rFonts w:hint="eastAsia"/>
                <w:color w:val="auto"/>
                <w:lang w:val="en-US" w:eastAsia="zh-CN"/>
              </w:rPr>
            </w:pPr>
            <w:r>
              <w:rPr>
                <w:rFonts w:hint="eastAsia"/>
                <w:color w:val="auto"/>
                <w:lang w:val="en-US" w:eastAsia="zh-CN"/>
              </w:rPr>
              <w:t>15、意外伤害控制：工作时间不吸烟喝酒、不酒后驾车等，对员工开展安全教育</w:t>
            </w:r>
          </w:p>
          <w:p>
            <w:pPr>
              <w:pStyle w:val="2"/>
              <w:rPr>
                <w:rFonts w:hint="default"/>
                <w:color w:val="auto"/>
                <w:lang w:val="en-US" w:eastAsia="zh-CN"/>
              </w:rPr>
            </w:pPr>
            <w:r>
              <w:rPr>
                <w:rFonts w:hint="eastAsia"/>
                <w:color w:val="auto"/>
                <w:lang w:val="en-US" w:eastAsia="zh-CN"/>
              </w:rPr>
              <w:t>16 车辆伤害控制：公司对人员进行安全培训教育，同时操作现场能获取汽车驾驶安全操作规程，并加强现场管理及监督检查</w:t>
            </w:r>
          </w:p>
          <w:p>
            <w:pPr>
              <w:pStyle w:val="2"/>
              <w:rPr>
                <w:rFonts w:hint="eastAsia"/>
                <w:color w:val="auto"/>
                <w:lang w:val="en-US" w:eastAsia="zh-CN"/>
              </w:rPr>
            </w:pPr>
          </w:p>
          <w:p>
            <w:pPr>
              <w:pStyle w:val="2"/>
              <w:rPr>
                <w:rFonts w:hint="eastAsia"/>
                <w:color w:val="auto"/>
                <w:lang w:val="en-US" w:eastAsia="zh-CN"/>
              </w:rPr>
            </w:pPr>
            <w:r>
              <w:rPr>
                <w:rFonts w:hint="eastAsia"/>
                <w:color w:val="auto"/>
                <w:lang w:val="en-US" w:eastAsia="zh-CN"/>
              </w:rPr>
              <w:t>现场运行情况：</w:t>
            </w:r>
          </w:p>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查不可接受风险源：</w:t>
            </w:r>
          </w:p>
          <w:p>
            <w:pPr>
              <w:rPr>
                <w:rStyle w:val="13"/>
                <w:rFonts w:hint="default" w:ascii="Arial" w:hAnsi="Arial" w:cs="Arial"/>
                <w:bCs w:val="0"/>
                <w:color w:val="auto"/>
                <w:spacing w:val="0"/>
                <w:shd w:val="clear" w:color="auto" w:fill="FFFFFF"/>
                <w:lang w:val="en-US" w:eastAsia="zh-CN"/>
              </w:rPr>
            </w:pPr>
            <w:r>
              <w:rPr>
                <w:rStyle w:val="13"/>
                <w:rFonts w:hint="eastAsia" w:ascii="Arial" w:hAnsi="Arial" w:cs="Arial"/>
                <w:color w:val="auto"/>
                <w:shd w:val="clear" w:color="auto" w:fill="FFFFFF"/>
              </w:rPr>
              <w:t>潜在火灾</w:t>
            </w:r>
            <w:r>
              <w:rPr>
                <w:rStyle w:val="13"/>
                <w:rFonts w:hint="eastAsia" w:ascii="Arial" w:hAnsi="Arial" w:cs="Arial"/>
                <w:color w:val="auto"/>
                <w:shd w:val="clear" w:color="auto" w:fill="FFFFFF"/>
                <w:lang w:eastAsia="zh-CN"/>
              </w:rPr>
              <w:t>、</w:t>
            </w:r>
            <w:r>
              <w:rPr>
                <w:rStyle w:val="13"/>
                <w:rFonts w:hint="eastAsia" w:ascii="Arial" w:hAnsi="Arial" w:cs="Arial"/>
                <w:bCs w:val="0"/>
                <w:color w:val="auto"/>
                <w:spacing w:val="0"/>
                <w:shd w:val="clear" w:color="auto" w:fill="FFFFFF"/>
                <w:lang w:val="en-US" w:eastAsia="zh-CN"/>
              </w:rPr>
              <w:t>触电、</w:t>
            </w:r>
            <w:r>
              <w:rPr>
                <w:rStyle w:val="13"/>
                <w:rFonts w:hint="eastAsia" w:ascii="Arial" w:hAnsi="Arial" w:cs="Arial"/>
                <w:bCs w:val="0"/>
                <w:color w:val="auto"/>
                <w:spacing w:val="0"/>
                <w:shd w:val="clear" w:color="auto" w:fill="FFFFFF"/>
              </w:rPr>
              <w:t>意外伤害</w:t>
            </w:r>
            <w:r>
              <w:rPr>
                <w:rStyle w:val="13"/>
                <w:rFonts w:hint="eastAsia" w:ascii="Arial" w:hAnsi="Arial" w:cs="Arial"/>
                <w:bCs w:val="0"/>
                <w:color w:val="auto"/>
                <w:spacing w:val="0"/>
                <w:shd w:val="clear" w:color="auto" w:fill="FFFFFF"/>
                <w:lang w:eastAsia="zh-CN"/>
              </w:rPr>
              <w:t>、</w:t>
            </w:r>
            <w:r>
              <w:rPr>
                <w:rStyle w:val="13"/>
                <w:rFonts w:hint="eastAsia" w:ascii="Arial" w:hAnsi="Arial" w:cs="Arial"/>
                <w:bCs w:val="0"/>
                <w:color w:val="auto"/>
                <w:spacing w:val="0"/>
                <w:shd w:val="clear" w:color="auto" w:fill="FFFFFF"/>
                <w:lang w:val="en-US" w:eastAsia="zh-CN"/>
              </w:rPr>
              <w:t>车辆伤害</w:t>
            </w:r>
          </w:p>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查重要环境因素：</w:t>
            </w:r>
            <w:r>
              <w:rPr>
                <w:rStyle w:val="13"/>
                <w:rFonts w:hint="eastAsia" w:ascii="Arial" w:hAnsi="Arial" w:cs="Arial"/>
                <w:color w:val="auto"/>
                <w:shd w:val="clear" w:color="auto" w:fill="FFFFFF"/>
                <w:lang w:val="en-US" w:eastAsia="zh-CN"/>
              </w:rPr>
              <w:t>废气、噪声、</w:t>
            </w:r>
            <w:r>
              <w:rPr>
                <w:rStyle w:val="13"/>
                <w:rFonts w:hint="eastAsia" w:ascii="Arial" w:hAnsi="Arial" w:cs="Arial"/>
                <w:color w:val="auto"/>
                <w:shd w:val="clear" w:color="auto" w:fill="FFFFFF"/>
              </w:rPr>
              <w:t>固体废弃物</w:t>
            </w:r>
          </w:p>
          <w:p>
            <w:pPr>
              <w:ind w:left="36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查看，公司制订的相应的安全管理制度及管理方案，对不可接受风险源和重要环境因素进行管控。</w:t>
            </w:r>
          </w:p>
          <w:p>
            <w:pPr>
              <w:rPr>
                <w:rFonts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抽查环境运行的策划与控制实施</w:t>
            </w:r>
          </w:p>
          <w:p>
            <w:pPr>
              <w:rPr>
                <w:rFonts w:asciiTheme="minorEastAsia" w:hAnsiTheme="minorEastAsia" w:eastAsiaTheme="minorEastAsia"/>
                <w:color w:val="auto"/>
                <w:szCs w:val="21"/>
              </w:rPr>
            </w:pPr>
            <w:r>
              <w:rPr>
                <w:rFonts w:hint="eastAsia" w:cs="Arial" w:asciiTheme="minorEastAsia" w:hAnsiTheme="minorEastAsia" w:eastAsiaTheme="minorEastAsia"/>
                <w:color w:val="auto"/>
                <w:szCs w:val="21"/>
              </w:rPr>
              <w:t>1）</w:t>
            </w:r>
            <w:r>
              <w:rPr>
                <w:rFonts w:asciiTheme="minorEastAsia" w:hAnsiTheme="minorEastAsia" w:eastAsiaTheme="minorEastAsia"/>
                <w:color w:val="auto"/>
                <w:szCs w:val="21"/>
              </w:rPr>
              <w:t>固体废弃物排放的管控</w:t>
            </w:r>
            <w:r>
              <w:rPr>
                <w:rFonts w:hint="eastAsia" w:asciiTheme="minorEastAsia" w:hAnsiTheme="minorEastAsia" w:eastAsiaTheme="minorEastAsia"/>
                <w:color w:val="auto"/>
                <w:szCs w:val="21"/>
              </w:rPr>
              <w:t>：</w:t>
            </w:r>
          </w:p>
          <w:p>
            <w:pPr>
              <w:pStyle w:val="14"/>
              <w:ind w:firstLine="0" w:firstLineChars="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制定并实施</w:t>
            </w:r>
            <w:r>
              <w:rPr>
                <w:rFonts w:hint="eastAsia" w:asciiTheme="minorEastAsia" w:hAnsiTheme="minorEastAsia" w:eastAsiaTheme="minorEastAsia"/>
                <w:bCs/>
                <w:color w:val="auto"/>
                <w:szCs w:val="21"/>
              </w:rPr>
              <w:t>《运行控制程序》中固体废弃物控制要求</w:t>
            </w: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eastAsia="zh-CN"/>
              </w:rPr>
              <w:t>运营管理部</w:t>
            </w:r>
            <w:r>
              <w:rPr>
                <w:rFonts w:hint="eastAsia" w:asciiTheme="minorEastAsia" w:hAnsiTheme="minorEastAsia" w:eastAsiaTheme="minorEastAsia"/>
                <w:color w:val="auto"/>
                <w:szCs w:val="21"/>
              </w:rPr>
              <w:t>负责废弃物的分类、收集、保管、由有资质的市政环卫公司合法拉运、处置。现场分设：可回收一般废弃物、不可回收一般废弃物，员工能按要求分类放置固体废弃物。</w:t>
            </w:r>
          </w:p>
          <w:p>
            <w:pPr>
              <w:pStyle w:val="14"/>
              <w:ind w:firstLine="0" w:firstLineChars="0"/>
              <w:rPr>
                <w:rFonts w:asciiTheme="minorEastAsia" w:hAnsiTheme="minorEastAsia" w:eastAsiaTheme="minorEastAsia"/>
                <w:color w:val="auto"/>
                <w:szCs w:val="21"/>
              </w:rPr>
            </w:pPr>
            <w:r>
              <w:rPr>
                <w:rFonts w:hint="eastAsia" w:asciiTheme="minorEastAsia" w:hAnsiTheme="minorEastAsia" w:eastAsiaTheme="minorEastAsia"/>
                <w:color w:val="auto"/>
                <w:szCs w:val="21"/>
              </w:rPr>
              <w:t>2）废气排放</w:t>
            </w:r>
            <w:r>
              <w:rPr>
                <w:rFonts w:asciiTheme="minorEastAsia" w:hAnsiTheme="minorEastAsia" w:eastAsiaTheme="minorEastAsia"/>
                <w:color w:val="auto"/>
                <w:szCs w:val="21"/>
              </w:rPr>
              <w:t>管控</w:t>
            </w:r>
            <w:r>
              <w:rPr>
                <w:rFonts w:hint="eastAsia" w:asciiTheme="minorEastAsia" w:hAnsiTheme="minorEastAsia" w:eastAsiaTheme="minorEastAsia"/>
                <w:color w:val="auto"/>
                <w:szCs w:val="21"/>
              </w:rPr>
              <w:t>：</w:t>
            </w:r>
          </w:p>
          <w:p>
            <w:pPr>
              <w:rPr>
                <w:rFonts w:hint="eastAsia" w:cs="Times New Roman" w:asciiTheme="minorEastAsia" w:hAnsiTheme="minorEastAsia" w:eastAsiaTheme="minorEastAsia"/>
                <w:bCs/>
                <w:color w:val="auto"/>
                <w:kern w:val="2"/>
                <w:sz w:val="21"/>
                <w:szCs w:val="21"/>
                <w:lang w:val="en-US" w:eastAsia="zh-CN" w:bidi="ar-SA"/>
              </w:rPr>
            </w:pPr>
            <w:r>
              <w:rPr>
                <w:rFonts w:hint="eastAsia" w:asciiTheme="minorEastAsia" w:hAnsiTheme="minorEastAsia" w:eastAsiaTheme="minorEastAsia"/>
                <w:color w:val="auto"/>
                <w:szCs w:val="21"/>
              </w:rPr>
              <w:t xml:space="preserve">  </w:t>
            </w:r>
            <w:r>
              <w:rPr>
                <w:rFonts w:hint="eastAsia" w:asciiTheme="minorEastAsia" w:hAnsiTheme="minorEastAsia" w:eastAsiaTheme="minorEastAsia"/>
                <w:color w:val="auto"/>
                <w:szCs w:val="21"/>
                <w:lang w:val="en-US" w:eastAsia="zh-CN"/>
              </w:rPr>
              <w:t>汽车</w:t>
            </w:r>
            <w:r>
              <w:rPr>
                <w:rFonts w:hint="eastAsia" w:asciiTheme="minorEastAsia" w:hAnsiTheme="minorEastAsia" w:eastAsiaTheme="minorEastAsia"/>
                <w:color w:val="auto"/>
                <w:szCs w:val="21"/>
              </w:rPr>
              <w:t>尾气排放，现采取定期对汽车进行维护保养，同时按期进行年检，确保尾气排放达标。车辆出现异常情况，严</w:t>
            </w:r>
            <w:r>
              <w:rPr>
                <w:rFonts w:hint="eastAsia" w:cs="Times New Roman" w:asciiTheme="minorEastAsia" w:hAnsiTheme="minorEastAsia" w:eastAsiaTheme="minorEastAsia"/>
                <w:bCs/>
                <w:color w:val="auto"/>
                <w:kern w:val="2"/>
                <w:sz w:val="21"/>
                <w:szCs w:val="21"/>
                <w:lang w:val="en-US" w:eastAsia="zh-CN" w:bidi="ar-SA"/>
              </w:rPr>
              <w:t>禁带病运行，对员工加强培训。</w:t>
            </w:r>
          </w:p>
          <w:p>
            <w:pPr>
              <w:pStyle w:val="2"/>
              <w:rPr>
                <w:rFonts w:hint="eastAsia" w:cs="Times New Roman" w:asciiTheme="minorEastAsia" w:hAnsiTheme="minorEastAsia" w:eastAsiaTheme="minorEastAsia"/>
                <w:bCs/>
                <w:color w:val="auto"/>
                <w:kern w:val="2"/>
                <w:sz w:val="21"/>
                <w:szCs w:val="21"/>
                <w:lang w:val="en-US" w:eastAsia="zh-CN" w:bidi="ar-SA"/>
              </w:rPr>
            </w:pPr>
            <w:r>
              <w:rPr>
                <w:rFonts w:hint="eastAsia" w:cs="Times New Roman" w:asciiTheme="minorEastAsia" w:hAnsiTheme="minorEastAsia" w:eastAsiaTheme="minorEastAsia"/>
                <w:bCs/>
                <w:color w:val="auto"/>
                <w:kern w:val="2"/>
                <w:sz w:val="21"/>
                <w:szCs w:val="21"/>
                <w:lang w:val="en-US" w:eastAsia="zh-CN" w:bidi="ar-SA"/>
              </w:rPr>
              <w:t xml:space="preserve">  废水：生活污水及维修废水排放到化粪池后通过第三方转放到污水处理厂</w:t>
            </w:r>
          </w:p>
          <w:p>
            <w:pPr>
              <w:rPr>
                <w:rFonts w:hint="eastAsia" w:asciiTheme="minorEastAsia" w:hAnsiTheme="minorEastAsia" w:eastAsiaTheme="minorEastAsia"/>
                <w:color w:val="auto"/>
                <w:szCs w:val="21"/>
              </w:rPr>
            </w:pPr>
          </w:p>
          <w:p>
            <w:pPr>
              <w:rPr>
                <w:rFonts w:asciiTheme="minorEastAsia" w:hAnsiTheme="minorEastAsia" w:eastAsiaTheme="minorEastAsia"/>
                <w:bCs/>
                <w:color w:val="auto"/>
                <w:szCs w:val="21"/>
              </w:rPr>
            </w:pPr>
          </w:p>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查见职业健康安全运行控制状况：</w:t>
            </w:r>
          </w:p>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1）意外火灾控制</w:t>
            </w:r>
          </w:p>
          <w:p>
            <w:pPr>
              <w:rPr>
                <w:rFonts w:hint="eastAsia" w:asciiTheme="minorEastAsia" w:hAnsiTheme="minorEastAsia" w:eastAsiaTheme="minorEastAsia"/>
                <w:bCs/>
                <w:color w:val="auto"/>
                <w:szCs w:val="21"/>
              </w:rPr>
            </w:pPr>
            <w:r>
              <w:rPr>
                <w:rFonts w:hint="eastAsia" w:asciiTheme="minorEastAsia" w:hAnsiTheme="minorEastAsia" w:eastAsiaTheme="minorEastAsia"/>
                <w:color w:val="auto"/>
                <w:szCs w:val="21"/>
              </w:rPr>
              <w:t xml:space="preserve">   组织的办公区域消防器材配置合理，每辆运输车都配置有灭火器，有灭火器等灭火器材，</w:t>
            </w:r>
            <w:r>
              <w:rPr>
                <w:rFonts w:hint="eastAsia" w:asciiTheme="minorEastAsia" w:hAnsiTheme="minorEastAsia" w:eastAsiaTheme="minorEastAsia"/>
                <w:color w:val="auto"/>
                <w:szCs w:val="21"/>
                <w:lang w:val="en-US" w:eastAsia="zh-CN"/>
              </w:rPr>
              <w:t>远程</w:t>
            </w:r>
            <w:r>
              <w:rPr>
                <w:rFonts w:hint="eastAsia" w:asciiTheme="minorEastAsia" w:hAnsiTheme="minorEastAsia" w:eastAsiaTheme="minorEastAsia"/>
                <w:color w:val="auto"/>
                <w:szCs w:val="21"/>
              </w:rPr>
              <w:t>现场确认正常，《消防安全点检表》按规定实施检查；各部门不定期的对本部门防火工作进行消防安全检查，对查出的问题和隐患，及时进行整改解决，确保安全；定期对员工进行火灾安全意识培训。</w:t>
            </w:r>
          </w:p>
          <w:p>
            <w:pPr>
              <w:ind w:firstLine="210" w:firstLineChars="100"/>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2</w:t>
            </w:r>
            <w:r>
              <w:rPr>
                <w:rFonts w:hint="eastAsia" w:asciiTheme="minorEastAsia" w:hAnsiTheme="minorEastAsia" w:eastAsiaTheme="minorEastAsia"/>
                <w:color w:val="auto"/>
                <w:szCs w:val="21"/>
              </w:rPr>
              <w:t>）意外伤害控制</w:t>
            </w:r>
          </w:p>
          <w:p>
            <w:pPr>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驾驶员要求按管理制度进行驾驶汽车，不超速、不开斗气车、不酒后驾车等，每月进行安全培训；定期对汽车进行安全检查，对查出的问题和隐患，及时进行整改解决，确保安全。</w:t>
            </w:r>
          </w:p>
          <w:p>
            <w:pPr>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查，</w:t>
            </w:r>
            <w:r>
              <w:rPr>
                <w:rFonts w:hint="eastAsia" w:asciiTheme="minorEastAsia" w:hAnsiTheme="minorEastAsia" w:eastAsiaTheme="minorEastAsia"/>
                <w:color w:val="auto"/>
                <w:szCs w:val="21"/>
                <w:lang w:val="en-US" w:eastAsia="zh-CN"/>
              </w:rPr>
              <w:t>公司对</w:t>
            </w:r>
            <w:bookmarkStart w:id="0" w:name="_GoBack"/>
            <w:bookmarkEnd w:id="0"/>
            <w:r>
              <w:rPr>
                <w:rFonts w:hint="eastAsia" w:asciiTheme="minorEastAsia" w:hAnsiTheme="minorEastAsia" w:eastAsiaTheme="minorEastAsia"/>
                <w:color w:val="auto"/>
                <w:szCs w:val="21"/>
              </w:rPr>
              <w:t>员工定期参加操作规程的培训,并进行了三级安全教育。</w:t>
            </w:r>
          </w:p>
          <w:p>
            <w:pPr>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3）触电：</w:t>
            </w:r>
            <w:r>
              <w:rPr>
                <w:rFonts w:hint="eastAsia" w:asciiTheme="minorEastAsia" w:hAnsiTheme="minorEastAsia" w:eastAsiaTheme="minorEastAsia"/>
                <w:color w:val="auto"/>
                <w:szCs w:val="21"/>
              </w:rPr>
              <w:t>电线均处于完好状态，设备有接地及保护装置，控制柜及漏电保护器状态良好。</w:t>
            </w:r>
          </w:p>
          <w:p>
            <w:pPr>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车辆伤害：现场可获取安全驾驶操作规程，公司对员工进行安全检查，查见到现场安全检查记录</w:t>
            </w:r>
          </w:p>
          <w:p>
            <w:pPr>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其他：提供人员体检报告，无职业病，给员工上保险</w:t>
            </w:r>
          </w:p>
          <w:p>
            <w:pPr>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运行符合要求</w:t>
            </w:r>
          </w:p>
          <w:p>
            <w:pPr>
              <w:spacing w:line="380" w:lineRule="exact"/>
              <w:ind w:firstLine="421" w:firstLineChars="0"/>
              <w:rPr>
                <w:rFonts w:ascii="宋体" w:hAnsi="宋体" w:cs="宋体"/>
                <w:bCs w:val="0"/>
                <w:spacing w:val="0"/>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cs="Lucida Sans"/>
              </w:rPr>
              <w:t>应急准备和响应</w:t>
            </w:r>
          </w:p>
        </w:tc>
        <w:tc>
          <w:tcPr>
            <w:tcW w:w="960" w:type="dxa"/>
            <w:vAlign w:val="center"/>
          </w:tcPr>
          <w:p>
            <w:pPr>
              <w:rPr>
                <w:rFonts w:cs="Lucida Sans"/>
              </w:rPr>
            </w:pPr>
            <w:r>
              <w:rPr>
                <w:rFonts w:cs="Lucida Sans"/>
              </w:rPr>
              <w:t>E</w:t>
            </w:r>
            <w:r>
              <w:rPr>
                <w:rFonts w:hint="eastAsia" w:cs="Lucida Sans"/>
                <w:lang w:val="en-US" w:eastAsia="zh-CN"/>
              </w:rPr>
              <w:t>S</w:t>
            </w:r>
            <w:r>
              <w:rPr>
                <w:rFonts w:cs="Lucida Sans"/>
              </w:rPr>
              <w:t>8.2</w:t>
            </w:r>
          </w:p>
          <w:p/>
        </w:tc>
        <w:tc>
          <w:tcPr>
            <w:tcW w:w="10004" w:type="dxa"/>
            <w:vAlign w:val="center"/>
          </w:tcPr>
          <w:p>
            <w:pPr>
              <w:ind w:firstLine="420" w:firstLineChars="200"/>
              <w:rPr>
                <w:rFonts w:hint="default" w:eastAsia="宋体" w:cs="Lucida Sans"/>
                <w:lang w:val="en-US" w:eastAsia="zh-CN"/>
              </w:rPr>
            </w:pPr>
            <w:r>
              <w:rPr>
                <w:rFonts w:hint="eastAsia" w:cs="Lucida Sans"/>
                <w:lang w:val="en-US" w:eastAsia="zh-CN"/>
              </w:rPr>
              <w:t>参加公司统一组织的应急演练，见办公室ES8.2审核记录</w:t>
            </w:r>
          </w:p>
          <w:p/>
        </w:tc>
        <w:tc>
          <w:tcPr>
            <w:tcW w:w="1585" w:type="dxa"/>
          </w:tcP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-45720</wp:posOffset>
          </wp:positionH>
          <wp:positionV relativeFrom="paragraph">
            <wp:posOffset>-179705</wp:posOffset>
          </wp:positionV>
          <wp:extent cx="481965" cy="485140"/>
          <wp:effectExtent l="0" t="0" r="635" b="1016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1"/>
      </w:pBdr>
      <w:spacing w:line="320" w:lineRule="exact"/>
      <w:jc w:val="left"/>
    </w:pPr>
    <w:r>
      <w:pict>
        <v:shape id="文本框 1" o:spid="_x0000_s4097" o:spt="202" type="#_x0000_t202" style="position:absolute;left:0pt;margin-left:554.75pt;margin-top:2.2pt;height:20.2pt;width:172pt;z-index:251659264;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EA598B"/>
    <w:multiLevelType w:val="singleLevel"/>
    <w:tmpl w:val="EAEA598B"/>
    <w:lvl w:ilvl="0" w:tentative="0">
      <w:start w:val="3"/>
      <w:numFmt w:val="decimal"/>
      <w:suff w:val="nothing"/>
      <w:lvlText w:val="%1、"/>
      <w:lvlJc w:val="left"/>
    </w:lvl>
  </w:abstractNum>
  <w:abstractNum w:abstractNumId="1">
    <w:nsid w:val="0376CA43"/>
    <w:multiLevelType w:val="singleLevel"/>
    <w:tmpl w:val="0376CA43"/>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1379EF"/>
    <w:rsid w:val="001A2D7F"/>
    <w:rsid w:val="00234212"/>
    <w:rsid w:val="00292A01"/>
    <w:rsid w:val="002A3D0E"/>
    <w:rsid w:val="002D3A53"/>
    <w:rsid w:val="00337922"/>
    <w:rsid w:val="00340867"/>
    <w:rsid w:val="00355035"/>
    <w:rsid w:val="00380837"/>
    <w:rsid w:val="003A198A"/>
    <w:rsid w:val="00410914"/>
    <w:rsid w:val="00476769"/>
    <w:rsid w:val="004A4D29"/>
    <w:rsid w:val="00536930"/>
    <w:rsid w:val="00564E53"/>
    <w:rsid w:val="00644FE2"/>
    <w:rsid w:val="0067640C"/>
    <w:rsid w:val="006E2F4E"/>
    <w:rsid w:val="006E678B"/>
    <w:rsid w:val="007757F3"/>
    <w:rsid w:val="007C6358"/>
    <w:rsid w:val="007E6AEB"/>
    <w:rsid w:val="008518B7"/>
    <w:rsid w:val="008973EE"/>
    <w:rsid w:val="008F79FD"/>
    <w:rsid w:val="0093271C"/>
    <w:rsid w:val="00971600"/>
    <w:rsid w:val="00993406"/>
    <w:rsid w:val="009973B4"/>
    <w:rsid w:val="009C28C1"/>
    <w:rsid w:val="009D201D"/>
    <w:rsid w:val="009F7EED"/>
    <w:rsid w:val="00A85194"/>
    <w:rsid w:val="00AF0AAB"/>
    <w:rsid w:val="00B82261"/>
    <w:rsid w:val="00BF597E"/>
    <w:rsid w:val="00C10DAE"/>
    <w:rsid w:val="00C51A36"/>
    <w:rsid w:val="00C55228"/>
    <w:rsid w:val="00C76130"/>
    <w:rsid w:val="00CE315A"/>
    <w:rsid w:val="00D06F59"/>
    <w:rsid w:val="00D8388C"/>
    <w:rsid w:val="00DE66FF"/>
    <w:rsid w:val="00EB0164"/>
    <w:rsid w:val="00EC2769"/>
    <w:rsid w:val="00ED0F62"/>
    <w:rsid w:val="00FB0F68"/>
    <w:rsid w:val="018E0F8A"/>
    <w:rsid w:val="05BD448F"/>
    <w:rsid w:val="07AF003B"/>
    <w:rsid w:val="108219C2"/>
    <w:rsid w:val="19E92974"/>
    <w:rsid w:val="1A4D5449"/>
    <w:rsid w:val="1BE1600E"/>
    <w:rsid w:val="1D2B6B43"/>
    <w:rsid w:val="1E312D14"/>
    <w:rsid w:val="319B2667"/>
    <w:rsid w:val="335278DA"/>
    <w:rsid w:val="3D4C2B35"/>
    <w:rsid w:val="3E3E351B"/>
    <w:rsid w:val="45CA2384"/>
    <w:rsid w:val="4A8A36BE"/>
    <w:rsid w:val="4E255F1B"/>
    <w:rsid w:val="50F27AD5"/>
    <w:rsid w:val="5EA12B9A"/>
    <w:rsid w:val="673A6C8E"/>
    <w:rsid w:val="6B3241F4"/>
    <w:rsid w:val="6E74315E"/>
    <w:rsid w:val="6E8E570F"/>
    <w:rsid w:val="71AE010F"/>
    <w:rsid w:val="75984232"/>
    <w:rsid w:val="77143ED6"/>
    <w:rsid w:val="7A404A1F"/>
    <w:rsid w:val="7F3C78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rFonts w:ascii="Times New Roman" w:hAnsi="Times New Roman" w:eastAsia="宋体" w:cs="Times New Roman"/>
      <w:sz w:val="18"/>
      <w:szCs w:val="18"/>
    </w:rPr>
  </w:style>
  <w:style w:type="character" w:customStyle="1" w:styleId="10">
    <w:name w:val="页脚 字符"/>
    <w:basedOn w:val="8"/>
    <w:link w:val="4"/>
    <w:qFormat/>
    <w:uiPriority w:val="99"/>
    <w:rPr>
      <w:rFonts w:ascii="Times New Roman" w:hAnsi="Times New Roman" w:eastAsia="宋体" w:cs="Times New Roman"/>
      <w:sz w:val="18"/>
      <w:szCs w:val="18"/>
    </w:rPr>
  </w:style>
  <w:style w:type="character" w:customStyle="1" w:styleId="11">
    <w:name w:val="批注框文本 字符"/>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info-content-text"/>
    <w:basedOn w:val="8"/>
    <w:qFormat/>
    <w:uiPriority w:val="0"/>
  </w:style>
  <w:style w:type="paragraph" w:customStyle="1" w:styleId="14">
    <w:name w:val="列出段落2"/>
    <w:basedOn w:val="1"/>
    <w:qFormat/>
    <w:uiPriority w:val="34"/>
    <w:pPr>
      <w:ind w:firstLine="420" w:firstLineChars="200"/>
    </w:pPr>
    <w:rPr>
      <w:rFonts w:ascii="Calibri" w:hAnsi="Calibri"/>
      <w:szCs w:val="22"/>
    </w:rPr>
  </w:style>
  <w:style w:type="paragraph" w:styleId="15">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476</Words>
  <Characters>2716</Characters>
  <Lines>22</Lines>
  <Paragraphs>6</Paragraphs>
  <TotalTime>4</TotalTime>
  <ScaleCrop>false</ScaleCrop>
  <LinksUpToDate>false</LinksUpToDate>
  <CharactersWithSpaces>3186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2022-03-23T06:54:30Z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37363E6B1E39491CB73E64F1588C62A6</vt:lpwstr>
  </property>
</Properties>
</file>