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0188-2022-EO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杭州瑞霖化工有限公司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2022年03月22日 上午至2022年03月23日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浙江省杭州市桐庐县城洋塘路279号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E:12.01.04</w:t>
            </w:r>
          </w:p>
          <w:p>
            <w:pPr>
              <w:spacing w:line="240" w:lineRule="exact"/>
              <w:jc w:val="center"/>
              <w:rPr>
                <w:b/>
                <w:color w:val="000000"/>
                <w:szCs w:val="21"/>
              </w:rPr>
            </w:pPr>
            <w:r>
              <w:rPr>
                <w:b/>
                <w:color w:val="000000"/>
                <w:szCs w:val="21"/>
              </w:rPr>
              <w:t>O:12.01.04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杭州瑞霖化工有限公司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浙江省杭州市桐庐县城洋塘路279号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浙江省杭州市桐庐县城洋塘路279号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陈永富</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13968066939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袁长贵</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陈永富</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E：SE 系列蔗糖脂肪酸酯、辛烯基琥珀酸淀粉钠（纯胶）产品的研发、生产所涉及场所的相关环境管理活动</w:t>
            </w:r>
          </w:p>
          <w:p>
            <w:pPr>
              <w:tabs>
                <w:tab w:val="left" w:pos="360"/>
              </w:tabs>
              <w:ind w:left="360" w:hanging="360"/>
              <w:rPr>
                <w:rFonts w:ascii="宋体" w:hAnsi="宋体"/>
                <w:b/>
                <w:color w:val="000000"/>
                <w:szCs w:val="21"/>
              </w:rPr>
            </w:pPr>
            <w:r>
              <w:t>O：SE 系列蔗糖脂肪酸酯、辛烯基琥珀酸淀粉钠（纯胶）产品的研发、生产所涉及场所的相关职业健康安</w:t>
            </w:r>
            <w:r>
              <w:rPr>
                <w:rFonts w:hint="eastAsia"/>
                <w:lang w:val="en-US" w:eastAsia="zh-CN"/>
              </w:rPr>
              <w:t>全</w:t>
            </w:r>
            <w:r>
              <w:t>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rFonts w:hint="eastAsia"/>
                <w:b/>
                <w:sz w:val="20"/>
                <w:lang w:val="en-US" w:eastAsia="zh-CN"/>
              </w:rPr>
            </w:pPr>
            <w:r>
              <w:rPr>
                <w:rFonts w:hint="eastAsia"/>
                <w:b/>
                <w:sz w:val="20"/>
                <w:lang w:val="en-US" w:eastAsia="zh-CN"/>
              </w:rPr>
              <w:t>蔗糖脂肪酸酯生产工艺流程图：原料检验→甲酯化→酯交换→切片粉碎→包装→检测→入库</w:t>
            </w:r>
          </w:p>
          <w:p>
            <w:pPr>
              <w:tabs>
                <w:tab w:val="left" w:pos="360"/>
              </w:tabs>
              <w:ind w:left="360" w:hanging="360"/>
              <w:rPr>
                <w:rFonts w:ascii="宋体"/>
                <w:color w:val="000000"/>
                <w:szCs w:val="21"/>
              </w:rPr>
            </w:pPr>
            <w:r>
              <w:rPr>
                <w:rFonts w:hint="eastAsia"/>
                <w:b/>
                <w:sz w:val="20"/>
                <w:lang w:val="en-US" w:eastAsia="zh-CN"/>
              </w:rPr>
              <w:t>辛烯基琥珀酸淀粉钠生产流程图：原材料→酯化反应→水洗离心→糊化酶解→喷雾干燥→入库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SE 系列蔗糖脂肪酸酯、辛烯基琥珀酸淀粉钠（纯胶）产品的研发、生产所涉及场所的相关环境管理活动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SE 系列</w:t>
            </w:r>
            <w:bookmarkStart w:id="37" w:name="_GoBack"/>
            <w:r>
              <w:t>蔗糖脂肪酸酯</w:t>
            </w:r>
            <w:bookmarkEnd w:id="37"/>
            <w:r>
              <w:t>、辛烯基琥珀酸淀粉钠（纯胶）产品的研发、生产所涉及场所的相关职业健康安</w:t>
            </w:r>
            <w:r>
              <w:rPr>
                <w:rFonts w:hint="eastAsia"/>
                <w:lang w:val="en-US" w:eastAsia="zh-CN"/>
              </w:rPr>
              <w:t>全</w:t>
            </w:r>
            <w:r>
              <w:t>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94"/>
        <w:gridCol w:w="1227"/>
        <w:gridCol w:w="946"/>
        <w:gridCol w:w="2974"/>
        <w:gridCol w:w="186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16"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19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2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94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974"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16" w:type="dxa"/>
            <w:vAlign w:val="center"/>
          </w:tcPr>
          <w:p>
            <w:pPr>
              <w:spacing w:before="40" w:after="40"/>
              <w:rPr>
                <w:rFonts w:eastAsia="黑体"/>
                <w:szCs w:val="21"/>
                <w:lang w:eastAsia="ja-JP"/>
              </w:rPr>
            </w:pPr>
            <w:r>
              <w:rPr>
                <w:rFonts w:eastAsia="黑体"/>
                <w:szCs w:val="21"/>
                <w:lang w:eastAsia="ja-JP"/>
              </w:rPr>
              <w:t>01</w:t>
            </w:r>
          </w:p>
        </w:tc>
        <w:tc>
          <w:tcPr>
            <w:tcW w:w="1194" w:type="dxa"/>
          </w:tcPr>
          <w:p>
            <w:pPr>
              <w:spacing w:before="40" w:after="40"/>
              <w:rPr>
                <w:rFonts w:hint="eastAsia" w:eastAsia="宋体"/>
                <w:szCs w:val="21"/>
                <w:lang w:val="en-US" w:eastAsia="zh-CN"/>
              </w:rPr>
            </w:pPr>
            <w:r>
              <w:rPr>
                <w:sz w:val="21"/>
                <w:szCs w:val="21"/>
              </w:rPr>
              <w:t>杭州瑞霖化工有限公司</w:t>
            </w:r>
            <w:r>
              <w:rPr>
                <w:rFonts w:hint="eastAsia"/>
                <w:sz w:val="21"/>
                <w:szCs w:val="21"/>
                <w:lang w:val="en-US" w:eastAsia="zh-CN"/>
              </w:rPr>
              <w:t>/</w:t>
            </w:r>
            <w:r>
              <w:rPr>
                <w:sz w:val="21"/>
                <w:szCs w:val="21"/>
              </w:rPr>
              <w:t>浙江省杭州市桐庐县城洋塘路279号</w:t>
            </w:r>
          </w:p>
        </w:tc>
        <w:tc>
          <w:tcPr>
            <w:tcW w:w="1227" w:type="dxa"/>
          </w:tcPr>
          <w:p>
            <w:pPr>
              <w:spacing w:before="40" w:after="40"/>
              <w:rPr>
                <w:rFonts w:eastAsia="黑体"/>
                <w:szCs w:val="21"/>
                <w:lang w:val="de-DE" w:eastAsia="ja-JP"/>
              </w:rPr>
            </w:pPr>
            <w:r>
              <w:rPr>
                <w:sz w:val="21"/>
                <w:szCs w:val="21"/>
              </w:rPr>
              <w:t>浙江省杭州市桐庐县城洋塘路279号</w:t>
            </w:r>
          </w:p>
        </w:tc>
        <w:tc>
          <w:tcPr>
            <w:tcW w:w="946" w:type="dxa"/>
            <w:vAlign w:val="center"/>
          </w:tcPr>
          <w:p>
            <w:pPr>
              <w:spacing w:before="40" w:after="40"/>
              <w:rPr>
                <w:rFonts w:hint="default" w:eastAsia="黑体"/>
                <w:szCs w:val="21"/>
                <w:lang w:val="en-US" w:eastAsia="zh-CN"/>
              </w:rPr>
            </w:pPr>
            <w:r>
              <w:rPr>
                <w:rFonts w:hint="eastAsia" w:eastAsia="黑体"/>
                <w:szCs w:val="21"/>
                <w:lang w:val="en-US" w:eastAsia="zh-CN"/>
              </w:rPr>
              <w:t>62</w:t>
            </w:r>
          </w:p>
        </w:tc>
        <w:tc>
          <w:tcPr>
            <w:tcW w:w="2974" w:type="dxa"/>
            <w:vAlign w:val="center"/>
          </w:tcPr>
          <w:p>
            <w:r>
              <w:t>E：SE 系列蔗糖脂肪酸酯、辛烯基琥珀酸淀粉钠（纯胶）产品的研发、生产所涉及场所的相关环境管理活动</w:t>
            </w:r>
          </w:p>
          <w:p>
            <w:pPr>
              <w:pStyle w:val="19"/>
              <w:rPr>
                <w:rFonts w:eastAsia="黑体" w:cs="Arial"/>
                <w:sz w:val="21"/>
                <w:szCs w:val="21"/>
                <w:lang w:val="en-US" w:eastAsia="ja-JP"/>
              </w:rPr>
            </w:pPr>
            <w:r>
              <w:t>O：SE 系列蔗糖脂肪酸酯、辛烯基琥珀酸淀粉钠（纯胶）产品的研发、生产所涉及场所的相关职业健康安</w:t>
            </w:r>
            <w:r>
              <w:rPr>
                <w:rFonts w:hint="eastAsia" w:eastAsia="宋体"/>
                <w:lang w:val="en-US" w:eastAsia="zh-CN"/>
              </w:rPr>
              <w:t>全</w:t>
            </w:r>
            <w:r>
              <w:t>管理活动</w:t>
            </w:r>
          </w:p>
        </w:tc>
        <w:tc>
          <w:tcPr>
            <w:tcW w:w="1867" w:type="dxa"/>
            <w:vAlign w:val="center"/>
          </w:tcPr>
          <w:p>
            <w:pPr>
              <w:spacing w:before="40" w:after="40"/>
              <w:rPr>
                <w:rFonts w:eastAsia="黑体"/>
                <w:szCs w:val="21"/>
                <w:lang w:eastAsia="ja-JP"/>
              </w:rPr>
            </w:pPr>
            <w:r>
              <w:rPr>
                <w:rFonts w:hint="eastAsia" w:ascii="宋体" w:hAnsi="宋体"/>
                <w:b/>
                <w:sz w:val="21"/>
                <w:szCs w:val="21"/>
              </w:rPr>
              <w:t>GB/T24001-2016/ISO 14001:2015</w:t>
            </w:r>
            <w:r>
              <w:rPr>
                <w:rFonts w:hint="eastAsia" w:ascii="宋体" w:hAnsi="宋体" w:eastAsia="宋体"/>
                <w:b/>
                <w:sz w:val="21"/>
                <w:szCs w:val="21"/>
                <w:lang w:val="en-US" w:eastAsia="zh-CN"/>
              </w:rPr>
              <w:t xml:space="preserve">  </w:t>
            </w:r>
            <w:r>
              <w:rPr>
                <w:rFonts w:hint="eastAsia" w:ascii="宋体" w:hAnsi="宋体"/>
                <w:b/>
                <w:sz w:val="21"/>
                <w:szCs w:val="21"/>
              </w:rPr>
              <w:t>GB/T 45001-2020/ISO45001：2018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2021年9月1日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2021年12月21日-22日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2022年1月22日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52"/>
            </w:r>
            <w:r>
              <w:rPr>
                <w:rFonts w:hint="eastAsia" w:ascii="宋体"/>
                <w:color w:val="000000"/>
                <w:spacing w:val="-10"/>
                <w:szCs w:val="21"/>
              </w:rPr>
              <w:t>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2022-03-2</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SE 系列蔗糖脂肪酸酯、辛烯基琥珀酸淀粉钠（纯胶）产品的研发、生产所涉及场所的相关环境管理活动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SE 系列蔗糖脂肪酸酯、辛烯基琥珀酸淀粉钠（纯胶）产品的研发、生产所涉及场所的相关职业健康安</w:t>
            </w:r>
            <w:r>
              <w:rPr>
                <w:rFonts w:hint="eastAsia"/>
                <w:lang w:val="en-US" w:eastAsia="zh-CN"/>
              </w:rPr>
              <w:t>全</w:t>
            </w:r>
            <w:r>
              <w:t>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2022年3月23日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057ACA"/>
    <w:rsid w:val="39081466"/>
    <w:rsid w:val="5AEF6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2022-03-26T02:01:43Z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