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杭州瑞霖化工有限公司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陪同人员：陈永富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</w:rPr>
              <w:t>林兵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余家龙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  审核时间：</w:t>
            </w:r>
            <w:bookmarkStart w:id="2" w:name="审核日期"/>
            <w:r>
              <w:rPr>
                <w:color w:val="000000"/>
              </w:rPr>
              <w:t>2022年03月22日 上午至2022年03月23日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9133011212143641972H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2000年11月22日至长期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：生产、研发、销售:食品、食品添加剂;货物进出口(法律、行政法规禁止经营项目除外，法律、行政法规限制经营的项目取得许可后方可经营)。(依法须经批准的项目，经相关部门批准后方可开展经营活动)；</w:t>
            </w:r>
          </w:p>
          <w:p>
            <w:r>
              <w:rPr>
                <w:rFonts w:hint="eastAsia"/>
                <w:color w:val="000000"/>
              </w:rPr>
              <w:t>认证申请范围：</w:t>
            </w:r>
            <w:bookmarkStart w:id="3" w:name="审核范围"/>
            <w:r>
              <w:t>E：SE 系列</w:t>
            </w:r>
            <w:bookmarkStart w:id="5" w:name="_GoBack"/>
            <w:r>
              <w:t>蔗糖脂肪酸酯</w:t>
            </w:r>
            <w:bookmarkEnd w:id="5"/>
            <w:r>
              <w:t>、辛烯基琥珀酸淀粉钠（纯胶）产品的研发、生产所涉及场所的相关环境管理活动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t>O：SE 系列蔗糖脂肪酸酯、辛烯基琥珀酸淀粉钠（纯胶）产品的研发、生产所涉及场所的相关职业健康安</w:t>
            </w:r>
            <w:r>
              <w:rPr>
                <w:rFonts w:hint="eastAsia"/>
                <w:lang w:val="en-US" w:eastAsia="zh-CN"/>
              </w:rPr>
              <w:t>全</w:t>
            </w:r>
            <w:r>
              <w:t>管理活动</w:t>
            </w:r>
            <w:bookmarkEnd w:id="3"/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食品生产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SC20133012200488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2021年3月29日-2026年3月28日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水产制品，食品添加剂，食用油，油脂及其制品，其他食品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4" w:name="生产地址"/>
            <w:r>
              <w:rPr>
                <w:sz w:val="21"/>
                <w:szCs w:val="21"/>
              </w:rPr>
              <w:t>浙江省杭州市桐庐县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桐君街道桐庐县</w:t>
            </w:r>
            <w:r>
              <w:rPr>
                <w:sz w:val="21"/>
                <w:szCs w:val="21"/>
              </w:rPr>
              <w:t>城洋塘路279号</w:t>
            </w:r>
            <w:bookmarkEnd w:id="4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sz w:val="21"/>
                <w:szCs w:val="21"/>
              </w:rPr>
              <w:t>浙江省杭州市桐庐县城洋塘路279号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蔗糖脂肪酸酯生产工艺流程图：原料检验→甲酯化→酯交换→切片粉碎→包装→检测→入库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辛烯基琥珀酸淀粉钠生产流程图：原材料→酯化反应→水洗离心→糊化酶解→喷雾干燥→入库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62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50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□QMS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组织文件化的管理方针已制定，内容为：规范操作，减少环境污染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关爱生命，预防安全事故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标语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黑体" w:hAnsi="新宋体" w:eastAsia="黑体"/>
                      <w:bCs/>
                      <w:color w:val="000000"/>
                      <w:sz w:val="24"/>
                      <w:szCs w:val="21"/>
                    </w:rPr>
                    <w:t>厂区噪</w:t>
                  </w:r>
                  <w:r>
                    <w:rPr>
                      <w:rFonts w:hint="eastAsia" w:ascii="黑体" w:hAnsi="新宋体" w:eastAsia="黑体"/>
                      <w:color w:val="000000"/>
                      <w:sz w:val="24"/>
                      <w:szCs w:val="21"/>
                    </w:rPr>
                    <w:t>声、废气、废水排放达标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黑体" w:hAnsi="新宋体" w:eastAsia="黑体" w:cs="Times New Roman"/>
                      <w:bCs/>
                      <w:color w:val="000000"/>
                      <w:sz w:val="24"/>
                      <w:szCs w:val="21"/>
                      <w:lang w:val="en-US" w:eastAsia="zh-CN"/>
                    </w:rPr>
                  </w:pPr>
                  <w:r>
                    <w:rPr>
                      <w:rFonts w:hint="eastAsia" w:ascii="黑体" w:hAnsi="新宋体" w:eastAsia="黑体" w:cs="Times New Roman"/>
                      <w:bCs/>
                      <w:color w:val="000000"/>
                      <w:sz w:val="24"/>
                      <w:szCs w:val="21"/>
                      <w:lang w:val="en-US" w:eastAsia="zh-CN"/>
                    </w:rPr>
                    <w:t>年度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黑体" w:hAnsi="新宋体" w:eastAsia="黑体" w:cs="Times New Roman"/>
                      <w:bCs/>
                      <w:color w:val="000000"/>
                      <w:sz w:val="24"/>
                      <w:szCs w:val="21"/>
                      <w:lang w:val="en-US" w:eastAsia="zh-CN"/>
                    </w:rPr>
                  </w:pPr>
                  <w:r>
                    <w:rPr>
                      <w:rFonts w:hint="eastAsia" w:ascii="黑体" w:hAnsi="新宋体" w:eastAsia="黑体" w:cs="Times New Roman"/>
                      <w:bCs/>
                      <w:color w:val="000000"/>
                      <w:sz w:val="24"/>
                      <w:szCs w:val="21"/>
                      <w:lang w:val="en-US" w:eastAsia="zh-CN"/>
                    </w:rPr>
                    <w:t>实际排放情况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黑体" w:hAnsi="新宋体" w:eastAsia="黑体" w:cs="Times New Roman"/>
                      <w:bCs/>
                      <w:color w:val="000000"/>
                      <w:sz w:val="24"/>
                      <w:szCs w:val="21"/>
                      <w:lang w:val="en-US" w:eastAsia="zh-CN"/>
                    </w:rPr>
                  </w:pPr>
                  <w:r>
                    <w:rPr>
                      <w:rFonts w:hint="eastAsia" w:ascii="黑体" w:hAnsi="新宋体" w:eastAsia="黑体" w:cs="Times New Roman"/>
                      <w:bCs/>
                      <w:color w:val="000000"/>
                      <w:sz w:val="24"/>
                      <w:szCs w:val="21"/>
                      <w:lang w:val="en-US"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黑体" w:hAnsi="新宋体" w:eastAsia="黑体"/>
                      <w:sz w:val="24"/>
                      <w:szCs w:val="21"/>
                    </w:rPr>
                    <w:t>各类废弃物按规定处置率100%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黑体" w:hAnsi="新宋体" w:eastAsia="黑体" w:cs="Times New Roman"/>
                      <w:bCs/>
                      <w:color w:val="000000"/>
                      <w:sz w:val="24"/>
                      <w:szCs w:val="21"/>
                      <w:lang w:val="en-US" w:eastAsia="zh-CN"/>
                    </w:rPr>
                  </w:pPr>
                  <w:r>
                    <w:rPr>
                      <w:rFonts w:hint="eastAsia" w:ascii="黑体" w:hAnsi="新宋体" w:eastAsia="黑体" w:cs="Times New Roman"/>
                      <w:bCs/>
                      <w:color w:val="000000"/>
                      <w:sz w:val="24"/>
                      <w:szCs w:val="21"/>
                      <w:lang w:val="en-US" w:eastAsia="zh-CN"/>
                    </w:rPr>
                    <w:t>年度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黑体" w:hAnsi="新宋体" w:eastAsia="黑体" w:cs="Times New Roman"/>
                      <w:bCs/>
                      <w:color w:val="000000"/>
                      <w:sz w:val="24"/>
                      <w:szCs w:val="21"/>
                      <w:lang w:val="en-US" w:eastAsia="zh-CN"/>
                    </w:rPr>
                  </w:pPr>
                  <w:r>
                    <w:rPr>
                      <w:rFonts w:hint="eastAsia" w:ascii="黑体" w:hAnsi="新宋体" w:eastAsia="黑体" w:cs="Times New Roman"/>
                      <w:bCs/>
                      <w:color w:val="000000"/>
                      <w:sz w:val="24"/>
                      <w:szCs w:val="21"/>
                      <w:lang w:val="en-US" w:eastAsia="zh-CN"/>
                    </w:rPr>
                    <w:t>实际处理情况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黑体" w:hAnsi="新宋体" w:eastAsia="黑体" w:cs="Times New Roman"/>
                      <w:bCs/>
                      <w:color w:val="000000"/>
                      <w:sz w:val="24"/>
                      <w:szCs w:val="21"/>
                      <w:lang w:val="en-US" w:eastAsia="zh-CN"/>
                    </w:rPr>
                  </w:pPr>
                  <w:r>
                    <w:rPr>
                      <w:rFonts w:hint="eastAsia" w:ascii="黑体" w:hAnsi="新宋体" w:eastAsia="黑体" w:cs="Times New Roman"/>
                      <w:bCs/>
                      <w:color w:val="000000"/>
                      <w:sz w:val="24"/>
                      <w:szCs w:val="21"/>
                      <w:lang w:val="en-US"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黑体" w:hAnsi="新宋体" w:eastAsia="黑体"/>
                      <w:sz w:val="24"/>
                      <w:szCs w:val="21"/>
                    </w:rPr>
                    <w:t>火灾发生率为0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黑体" w:hAnsi="新宋体" w:eastAsia="黑体" w:cs="Times New Roman"/>
                      <w:bCs/>
                      <w:color w:val="000000"/>
                      <w:sz w:val="24"/>
                      <w:szCs w:val="21"/>
                      <w:lang w:val="en-US" w:eastAsia="zh-CN"/>
                    </w:rPr>
                  </w:pPr>
                  <w:r>
                    <w:rPr>
                      <w:rFonts w:hint="eastAsia" w:ascii="黑体" w:hAnsi="新宋体" w:eastAsia="黑体" w:cs="Times New Roman"/>
                      <w:bCs/>
                      <w:color w:val="000000"/>
                      <w:sz w:val="24"/>
                      <w:szCs w:val="21"/>
                      <w:lang w:val="en-US" w:eastAsia="zh-CN"/>
                    </w:rPr>
                    <w:t>年度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黑体" w:hAnsi="新宋体" w:eastAsia="黑体" w:cs="Times New Roman"/>
                      <w:bCs/>
                      <w:color w:val="000000"/>
                      <w:sz w:val="24"/>
                      <w:szCs w:val="21"/>
                      <w:lang w:val="en-US" w:eastAsia="zh-CN"/>
                    </w:rPr>
                  </w:pPr>
                  <w:r>
                    <w:rPr>
                      <w:rFonts w:hint="eastAsia" w:ascii="黑体" w:hAnsi="新宋体" w:eastAsia="黑体" w:cs="Times New Roman"/>
                      <w:bCs/>
                      <w:color w:val="000000"/>
                      <w:sz w:val="24"/>
                      <w:szCs w:val="21"/>
                      <w:lang w:val="en-US" w:eastAsia="zh-CN"/>
                    </w:rPr>
                    <w:t>发生次数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黑体" w:hAnsi="新宋体" w:eastAsia="黑体" w:cs="Times New Roman"/>
                      <w:bCs/>
                      <w:color w:val="000000"/>
                      <w:sz w:val="24"/>
                      <w:szCs w:val="21"/>
                      <w:lang w:val="en-US" w:eastAsia="zh-CN"/>
                    </w:rPr>
                  </w:pPr>
                  <w:r>
                    <w:rPr>
                      <w:rFonts w:hint="eastAsia" w:ascii="黑体" w:hAnsi="新宋体" w:eastAsia="黑体" w:cs="Times New Roman"/>
                      <w:bCs/>
                      <w:color w:val="000000"/>
                      <w:sz w:val="24"/>
                      <w:szCs w:val="21"/>
                      <w:lang w:val="en-US"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黑体" w:hAnsi="新宋体" w:eastAsia="黑体"/>
                      <w:color w:val="000000"/>
                      <w:sz w:val="24"/>
                      <w:szCs w:val="21"/>
                    </w:rPr>
                    <w:t>重大安全事故为0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黑体" w:hAnsi="新宋体" w:eastAsia="黑体" w:cs="Times New Roman"/>
                      <w:bCs/>
                      <w:color w:val="000000"/>
                      <w:sz w:val="24"/>
                      <w:szCs w:val="21"/>
                      <w:lang w:val="en-US" w:eastAsia="zh-CN"/>
                    </w:rPr>
                  </w:pPr>
                  <w:r>
                    <w:rPr>
                      <w:rFonts w:hint="eastAsia" w:ascii="黑体" w:hAnsi="新宋体" w:eastAsia="黑体" w:cs="Times New Roman"/>
                      <w:bCs/>
                      <w:color w:val="000000"/>
                      <w:sz w:val="24"/>
                      <w:szCs w:val="21"/>
                      <w:lang w:val="en-US" w:eastAsia="zh-CN"/>
                    </w:rPr>
                    <w:t>年度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黑体" w:hAnsi="新宋体" w:eastAsia="黑体" w:cs="Times New Roman"/>
                      <w:bCs/>
                      <w:color w:val="000000"/>
                      <w:sz w:val="24"/>
                      <w:szCs w:val="21"/>
                      <w:lang w:val="en-US" w:eastAsia="zh-CN"/>
                    </w:rPr>
                  </w:pPr>
                  <w:r>
                    <w:rPr>
                      <w:rFonts w:hint="eastAsia" w:ascii="黑体" w:hAnsi="新宋体" w:eastAsia="黑体" w:cs="Times New Roman"/>
                      <w:bCs/>
                      <w:color w:val="000000"/>
                      <w:sz w:val="24"/>
                      <w:szCs w:val="21"/>
                      <w:lang w:val="en-US" w:eastAsia="zh-CN"/>
                    </w:rPr>
                    <w:t>发生次数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黑体" w:hAnsi="新宋体" w:eastAsia="黑体" w:cs="Times New Roman"/>
                      <w:bCs/>
                      <w:color w:val="000000"/>
                      <w:sz w:val="24"/>
                      <w:szCs w:val="21"/>
                      <w:lang w:val="en-US" w:eastAsia="zh-CN"/>
                    </w:rPr>
                  </w:pPr>
                  <w:r>
                    <w:rPr>
                      <w:rFonts w:hint="eastAsia" w:ascii="黑体" w:hAnsi="新宋体" w:eastAsia="黑体" w:cs="Times New Roman"/>
                      <w:bCs/>
                      <w:color w:val="000000"/>
                      <w:sz w:val="24"/>
                      <w:szCs w:val="21"/>
                      <w:lang w:val="en-US"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黑体" w:hAnsi="新宋体" w:eastAsia="黑体"/>
                      <w:color w:val="000000"/>
                      <w:sz w:val="24"/>
                      <w:szCs w:val="21"/>
                    </w:rPr>
                    <w:t>职业病发生率0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黑体" w:hAnsi="新宋体" w:eastAsia="黑体" w:cs="Times New Roman"/>
                      <w:bCs/>
                      <w:color w:val="000000"/>
                      <w:sz w:val="24"/>
                      <w:szCs w:val="21"/>
                      <w:lang w:val="en-US" w:eastAsia="zh-CN"/>
                    </w:rPr>
                  </w:pPr>
                  <w:r>
                    <w:rPr>
                      <w:rFonts w:hint="eastAsia" w:ascii="黑体" w:hAnsi="新宋体" w:eastAsia="黑体" w:cs="Times New Roman"/>
                      <w:bCs/>
                      <w:color w:val="000000"/>
                      <w:sz w:val="24"/>
                      <w:szCs w:val="21"/>
                      <w:lang w:val="en-US" w:eastAsia="zh-CN"/>
                    </w:rPr>
                    <w:t>年度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黑体" w:hAnsi="新宋体" w:eastAsia="黑体" w:cs="Times New Roman"/>
                      <w:bCs/>
                      <w:color w:val="000000"/>
                      <w:sz w:val="24"/>
                      <w:szCs w:val="21"/>
                      <w:lang w:val="en-US" w:eastAsia="zh-CN"/>
                    </w:rPr>
                  </w:pPr>
                  <w:r>
                    <w:rPr>
                      <w:rFonts w:hint="eastAsia" w:ascii="黑体" w:hAnsi="新宋体" w:eastAsia="黑体" w:cs="Times New Roman"/>
                      <w:bCs/>
                      <w:color w:val="000000"/>
                      <w:sz w:val="24"/>
                      <w:szCs w:val="21"/>
                      <w:lang w:val="en-US" w:eastAsia="zh-CN"/>
                    </w:rPr>
                    <w:t>发生次数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黑体" w:hAnsi="新宋体" w:eastAsia="黑体" w:cs="Times New Roman"/>
                      <w:bCs/>
                      <w:color w:val="000000"/>
                      <w:sz w:val="24"/>
                      <w:szCs w:val="21"/>
                      <w:lang w:val="en-US" w:eastAsia="zh-CN"/>
                    </w:rPr>
                  </w:pPr>
                  <w:r>
                    <w:rPr>
                      <w:rFonts w:hint="eastAsia" w:ascii="黑体" w:hAnsi="新宋体" w:eastAsia="黑体" w:cs="Times New Roman"/>
                      <w:bCs/>
                      <w:color w:val="000000"/>
                      <w:sz w:val="24"/>
                      <w:szCs w:val="21"/>
                      <w:lang w:val="en-US"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-《管理手册》份；覆盖了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18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18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72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2021年12月21日-22日</w:t>
            </w:r>
            <w:r>
              <w:rPr>
                <w:rFonts w:hint="eastAsia"/>
                <w:color w:val="000000"/>
                <w:szCs w:val="18"/>
              </w:rPr>
              <w:t>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2022年1月22日</w:t>
            </w:r>
            <w:r>
              <w:rPr>
                <w:rFonts w:hint="eastAsia"/>
                <w:color w:val="000000"/>
                <w:szCs w:val="18"/>
              </w:rPr>
              <w:t>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淀粉糖脂 1000 吨/年、食用消泡剂 200 吨/年、复合乳化稳定剂 200 吨/年</w:t>
            </w:r>
            <w:r>
              <w:rPr>
                <w:rFonts w:hint="eastAsia"/>
                <w:color w:val="000000"/>
                <w:szCs w:val="18"/>
                <w:u w:val="single"/>
                <w:lang w:eastAsia="zh-CN"/>
              </w:rPr>
              <w:t>，蔗糖酯(蔗糖脂肪酸酯)总产能1140</w:t>
            </w:r>
            <w:r>
              <w:rPr>
                <w:rFonts w:hint="eastAsia"/>
                <w:color w:val="000000"/>
                <w:szCs w:val="18"/>
                <w:u w:val="single"/>
              </w:rPr>
              <w:t>吨/年 ；</w:t>
            </w:r>
            <w:r>
              <w:rPr>
                <w:rFonts w:hint="eastAsia"/>
                <w:color w:val="000000"/>
                <w:szCs w:val="18"/>
              </w:rPr>
              <w:t xml:space="preserve"> 环评的产能：淀粉糖脂 1000 吨/年、食用消泡剂 200 吨/年、复合乳化稳定剂 200 吨/年</w:t>
            </w:r>
            <w:r>
              <w:rPr>
                <w:rFonts w:hint="eastAsia"/>
                <w:color w:val="000000"/>
                <w:szCs w:val="18"/>
                <w:lang w:eastAsia="zh-CN"/>
              </w:rPr>
              <w:t>，蔗糖酯(蔗糖脂肪酸酯)总产能1140</w:t>
            </w:r>
            <w:r>
              <w:rPr>
                <w:rFonts w:hint="eastAsia"/>
                <w:color w:val="000000"/>
                <w:szCs w:val="18"/>
              </w:rPr>
              <w:t>吨/年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91330122143641972H001U</w:t>
            </w: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2022年12月6日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2021年3月24日和2011年12月5日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2021年6月3日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shd w:val="pct10" w:color="auto" w:fill="FFFFFF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val="en-US" w:eastAsia="zh-CN"/>
              </w:rPr>
              <w:t>2021年11月10日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2021年12月27日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2021年3月30日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val="en-US" w:eastAsia="zh-CN"/>
              </w:rPr>
              <w:t>2021年11月10日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sym w:font="Wingdings" w:char="00FE"/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机械伤害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触电  □化学伤害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噪声 □粉尘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F3005FF"/>
    <w:rsid w:val="5D587B29"/>
    <w:rsid w:val="77546CDC"/>
    <w:rsid w:val="7DD333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line="312" w:lineRule="auto"/>
    </w:pPr>
    <w:rPr>
      <w:rFonts w:ascii="Arial" w:hAnsi="Arial" w:eastAsia="楷体_GB2312"/>
      <w:spacing w:val="20"/>
      <w:sz w:val="24"/>
      <w:szCs w:val="20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17</TotalTime>
  <ScaleCrop>false</ScaleCrop>
  <LinksUpToDate>false</LinksUpToDate>
  <CharactersWithSpaces>13072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way一直都在</cp:lastModifiedBy>
  <dcterms:modified xsi:type="dcterms:W3CDTF">2022-03-26T02:01:09Z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2052-11.1.0.11365</vt:lpwstr>
  </property>
</Properties>
</file>