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南昌水利设备厂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0147-2021-QEO-2022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江西省南昌市新建区乐化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裘名铜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江西省南昌市新建区乐化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0791-83110017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15870607702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Q：中型螺杆式启闭机、中型固定卷扬式启闭机、平面滑动闸门、平面定轮闸门、汽车轴类配件的生产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E：中型螺杆式启闭机、中型固定卷扬式启闭机、平面滑动闸门、平面定轮闸门、汽车轴类配件的生产所涉及场所的相关环境管理活动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O：中型螺杆式启闭机、中型固定卷扬式启闭机、平面滑动闸门、平面定轮闸门、汽车轴类配件的生产所涉及场所的相关职业健康安全管理活动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Q：18.05.07;22.03.02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E：18.05.07;22.03.02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O：18.05.07;22.03.02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Q:26,E:26,O:26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W w:w="1017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"/>
              <w:gridCol w:w="1569"/>
              <w:gridCol w:w="923"/>
              <w:gridCol w:w="6315"/>
              <w:gridCol w:w="6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日期</w:t>
                  </w:r>
                </w:p>
              </w:tc>
              <w:tc>
                <w:tcPr>
                  <w:tcW w:w="1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6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过程、涉及条款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审核人员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both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6.16</w:t>
                  </w:r>
                </w:p>
              </w:tc>
              <w:tc>
                <w:tcPr>
                  <w:tcW w:w="1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08:3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-09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23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80" w:lineRule="exact"/>
                    <w:ind w:firstLine="422" w:firstLineChars="200"/>
                    <w:jc w:val="left"/>
                    <w:rPr>
                      <w:rFonts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 w:val="21"/>
                      <w:szCs w:val="21"/>
                    </w:rPr>
                    <w:t>首次会议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-09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管理层</w:t>
                  </w:r>
                </w:p>
                <w:p>
                  <w:pPr>
                    <w:spacing w:line="28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员工代表</w:t>
                  </w:r>
                </w:p>
              </w:tc>
              <w:tc>
                <w:tcPr>
                  <w:tcW w:w="6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QEO:4.1理解组织及其环境、4.2理解相关方的需求和期望、4.3确定管理体系的范围、4.4质量/环境/职业健康安全管理体系及其过程、5.1领导作用和承诺、5.2质量/环境/职业健康安全方针、5.3组织的岗位、职责和权限、6.1应对风险和机遇的措施、6.2质量/环境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职业健康安全目标及其实现的策划、7.1资源、7.4信息交流、9.3管理评审、10.1改进、10.3持续改进</w:t>
                  </w:r>
                </w:p>
                <w:p>
                  <w:pPr>
                    <w:spacing w:line="240" w:lineRule="auto"/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Q6.3变更的策划、O5.4协商与参与</w:t>
                  </w:r>
                </w:p>
                <w:p>
                  <w:pPr>
                    <w:pStyle w:val="2"/>
                    <w:spacing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val="en-US" w:eastAsia="zh-CN"/>
                    </w:rPr>
                    <w:t>B审核划线部分</w:t>
                  </w:r>
                </w:p>
                <w:p>
                  <w:pPr>
                    <w:spacing w:line="240" w:lineRule="auto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single"/>
                    </w:rPr>
                    <w:t>标准/规范/法规的执行情况、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single"/>
                      <w:lang w:eastAsia="zh-CN"/>
                    </w:rPr>
                    <w:t>上次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u w:val="single"/>
                    </w:rPr>
                    <w:t>审核不符合项的验证、认证证书、标志的使用情况、投诉或事故、监督抽查情况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A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u w:val="single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jc w:val="both"/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09:30-12:00</w:t>
                  </w:r>
                </w:p>
                <w:p>
                  <w:pPr>
                    <w:pStyle w:val="2"/>
                    <w:jc w:val="both"/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12:00-12:30</w:t>
                  </w:r>
                </w:p>
                <w:p>
                  <w:pPr>
                    <w:pStyle w:val="2"/>
                    <w:jc w:val="both"/>
                    <w:rPr>
                      <w:rFonts w:hint="default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午餐</w:t>
                  </w: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eastAsia="zh-CN"/>
                    </w:rPr>
                    <w:t>厂办</w:t>
                  </w:r>
                </w:p>
              </w:tc>
              <w:tc>
                <w:tcPr>
                  <w:tcW w:w="6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Q:5.3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质量目标、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7.1.2人员、7.1.6组织知识、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7.2能力、7.3意识、7.5形成文件的信息、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9.1.1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监视、测量、分析和评价、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9.1.3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分析与评价、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9.2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内部审核、10.2不符合/事件和纠正措施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hint="eastAsia" w:ascii="宋体" w:hAnsi="宋体" w:eastAsia="宋体" w:cs="Arial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E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/O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环境因素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6.1.4措施的策划、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目标、6.1.3合规义务、9.1.2合规性评价、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7.2能力、7.3意识、7.5形成文件的信息、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9.1监视、测量、分析和评价、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 xml:space="preserve">9.2 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内部审核、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10.2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不合格和纠正措施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6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技术科</w:t>
                  </w:r>
                </w:p>
              </w:tc>
              <w:tc>
                <w:tcPr>
                  <w:tcW w:w="6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Q:5.3组织的岗位、职责和权限、6.2质量目标、8.1运行策划和控制、8.3产品和服务的设计和开发不适用确认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hint="eastAsia" w:ascii="宋体" w:hAnsi="宋体" w:eastAsia="宋体" w:cs="Arial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E/O:5.3组织的岗位、职责和权限、6.2环境与职业健康安全目标、6.1.2环境因素/危险源辨识与评价、6.1.4措施的策划、8.1运行策划和控制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:30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-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17: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生产科</w:t>
                  </w:r>
                </w:p>
              </w:tc>
              <w:tc>
                <w:tcPr>
                  <w:tcW w:w="6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asci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QMS:5.3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质量目标、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7.1.3设备设施、7.1.4环境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生产和服务提供的控制、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产品标识和可追朔性、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8.5.4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产品防护、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8.5.6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生产和服务提供的更改控制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ascii="宋体" w:hAnsi="宋体" w:cs="Arial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E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/O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环境/职业健康安全目标、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环境因素/危险源辨识与评价、6.1.4措施的策划、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Arial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6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供销科</w:t>
                  </w:r>
                </w:p>
              </w:tc>
              <w:tc>
                <w:tcPr>
                  <w:tcW w:w="6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Q:5.3组织的岗位、职责和权限、6.2质量目标、8.4外部提供过程、产品和服务的控制、8.2产品和服务的要求、8.5.3顾客或外部供方的财产、9.1.2顾客满意、8.5.5交付后的活动，</w:t>
                  </w:r>
                </w:p>
                <w:p>
                  <w:pPr>
                    <w:spacing w:line="240" w:lineRule="auto"/>
                    <w:rPr>
                      <w:rFonts w:ascii="宋体" w:hAnsi="宋体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E/O:5.3组织的岗位、职责和权限、6.2环境与职业健康安全目标、6.1.2环境因素/危险源辨识与评价、6.1.4措施的策划、8.1运行策划和控制、8.2应急准备和响应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both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6.17</w:t>
                  </w:r>
                </w:p>
              </w:tc>
              <w:tc>
                <w:tcPr>
                  <w:tcW w:w="15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-12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:00</w:t>
                  </w: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质检科</w:t>
                  </w:r>
                </w:p>
              </w:tc>
              <w:tc>
                <w:tcPr>
                  <w:tcW w:w="6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ascii="宋体" w:hAnsi="宋体" w:cs="Arial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QMS:5.3组织的岗位、职责和权限、6.2质量目标、7.1.5监视和测量资源、8.6产品和服务的放行、8.7不合格输出的控制，</w:t>
                  </w: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ascii="宋体" w:hAnsi="宋体" w:cs="Arial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E/OHMS:5.3组织的岗位、职责和权限、6.2环境与职业健康安全目标、6.1.2环境因素/危险源辨识与评价、6.1.4措施的策划、8.1运行策划和控制、8.2应急准备和响应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Arial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6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财务科</w:t>
                  </w:r>
                </w:p>
              </w:tc>
              <w:tc>
                <w:tcPr>
                  <w:tcW w:w="6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QMS:5.3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质量目标、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7.1资源</w:t>
                  </w:r>
                </w:p>
                <w:p>
                  <w:pPr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ascii="宋体" w:hAnsi="宋体"/>
                      <w:b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EMS:5.3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环境因素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6.1.4措施的策划、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环境目标、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ind w:firstLine="210" w:firstLineChars="100"/>
                    <w:rPr>
                      <w:rFonts w:ascii="宋体" w:hAnsi="宋体" w:cs="Arial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Arial"/>
                      <w:b w:val="0"/>
                      <w:bCs/>
                      <w:sz w:val="21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68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exact"/>
                    <w:jc w:val="center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12:00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-12:30</w:t>
                  </w:r>
                </w:p>
              </w:tc>
              <w:tc>
                <w:tcPr>
                  <w:tcW w:w="723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80" w:lineRule="exact"/>
                    <w:ind w:firstLine="420" w:firstLineChars="200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末次会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A B C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eastAsia="zh-CN"/>
              </w:rPr>
              <w:t>体系持续改进的保持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/20222.6.17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23041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1845</Words>
  <Characters>2049</Characters>
  <Lines>16</Lines>
  <Paragraphs>4</Paragraphs>
  <TotalTime>2</TotalTime>
  <ScaleCrop>false</ScaleCrop>
  <LinksUpToDate>false</LinksUpToDate>
  <CharactersWithSpaces>2558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2022-06-12T07:13:34Z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