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1148"/>
        <w:gridCol w:w="10607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72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4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0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财务科</w:t>
            </w:r>
            <w:bookmarkStart w:id="2" w:name="_GoBack"/>
            <w:bookmarkEnd w:id="2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eastAsia="zh-CN"/>
              </w:rPr>
              <w:t>熊学杰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bookmarkStart w:id="0" w:name="管理者代表"/>
            <w:r>
              <w:rPr>
                <w:rFonts w:hint="eastAsia"/>
                <w:sz w:val="24"/>
                <w:szCs w:val="24"/>
              </w:rPr>
              <w:t>徐刚锐</w:t>
            </w:r>
            <w:bookmarkEnd w:id="0"/>
          </w:p>
        </w:tc>
        <w:tc>
          <w:tcPr>
            <w:tcW w:w="982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72" w:type="dxa"/>
            <w:vMerge w:val="continue"/>
            <w:vAlign w:val="center"/>
          </w:tcPr>
          <w:p/>
        </w:tc>
        <w:tc>
          <w:tcPr>
            <w:tcW w:w="1148" w:type="dxa"/>
            <w:vMerge w:val="continue"/>
            <w:vAlign w:val="center"/>
          </w:tcPr>
          <w:p/>
        </w:tc>
        <w:tc>
          <w:tcPr>
            <w:tcW w:w="10607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eastAsia="zh-CN"/>
              </w:rPr>
              <w:t>褚敏杰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审核时间：</w:t>
            </w:r>
            <w:bookmarkStart w:id="1" w:name="审核日期"/>
            <w:r>
              <w:rPr>
                <w:rFonts w:hint="eastAsia"/>
                <w:sz w:val="24"/>
                <w:szCs w:val="24"/>
                <w:lang w:val="en-US" w:eastAsia="zh-CN"/>
              </w:rPr>
              <w:t>2022年06月17日</w:t>
            </w:r>
            <w:bookmarkEnd w:id="1"/>
          </w:p>
        </w:tc>
        <w:tc>
          <w:tcPr>
            <w:tcW w:w="98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72" w:type="dxa"/>
            <w:vMerge w:val="continue"/>
            <w:vAlign w:val="center"/>
          </w:tcPr>
          <w:p/>
        </w:tc>
        <w:tc>
          <w:tcPr>
            <w:tcW w:w="1148" w:type="dxa"/>
            <w:vMerge w:val="continue"/>
            <w:vAlign w:val="center"/>
          </w:tcPr>
          <w:p/>
        </w:tc>
        <w:tc>
          <w:tcPr>
            <w:tcW w:w="10607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5" w:rightChars="5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QMS:5.3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质量目标、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7.1资源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cs="Arial"/>
                <w:sz w:val="21"/>
                <w:szCs w:val="21"/>
              </w:rPr>
              <w:t>EMS:5.3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环境因素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6.1.4措施的策划、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环境目标、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7.1资源、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应急准备和响应</w:t>
            </w:r>
          </w:p>
        </w:tc>
        <w:tc>
          <w:tcPr>
            <w:tcW w:w="98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72" w:type="dxa"/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 w:eastAsia="宋体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组织的岗位、职责和权限</w:t>
            </w:r>
          </w:p>
        </w:tc>
        <w:tc>
          <w:tcPr>
            <w:tcW w:w="114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QEO</w:t>
            </w:r>
            <w:r>
              <w:rPr>
                <w:rFonts w:hint="eastAsia" w:ascii="宋体" w:hAnsi="宋体" w:cs="Arial"/>
                <w:szCs w:val="21"/>
                <w:highlight w:val="none"/>
                <w:lang w:val="en-US" w:eastAsia="zh-CN"/>
              </w:rPr>
              <w:t>:</w:t>
            </w:r>
            <w:r>
              <w:rPr>
                <w:rFonts w:hint="eastAsia" w:ascii="宋体" w:hAnsi="宋体" w:cs="Arial"/>
                <w:szCs w:val="21"/>
                <w:highlight w:val="none"/>
              </w:rPr>
              <w:t>5.3</w:t>
            </w:r>
          </w:p>
        </w:tc>
        <w:tc>
          <w:tcPr>
            <w:tcW w:w="1060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财务科现有2人，会计1人、出纳1人；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主要负责资金管理；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组织本部门的环境因素、危险源的识别、评价及控制；</w:t>
            </w:r>
          </w:p>
        </w:tc>
        <w:tc>
          <w:tcPr>
            <w:tcW w:w="982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72" w:type="dxa"/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 w:eastAsia="宋体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目标和方案</w:t>
            </w:r>
          </w:p>
        </w:tc>
        <w:tc>
          <w:tcPr>
            <w:tcW w:w="114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QEO</w:t>
            </w:r>
            <w:r>
              <w:rPr>
                <w:rFonts w:hint="eastAsia" w:ascii="宋体" w:hAnsi="宋体" w:cs="Arial"/>
                <w:szCs w:val="21"/>
                <w:highlight w:val="none"/>
                <w:lang w:val="en-US" w:eastAsia="zh-CN"/>
              </w:rPr>
              <w:t>:</w:t>
            </w:r>
            <w:r>
              <w:rPr>
                <w:rFonts w:hint="eastAsia" w:ascii="宋体" w:hAnsi="宋体" w:cs="Arial"/>
                <w:szCs w:val="21"/>
                <w:highlight w:val="none"/>
              </w:rPr>
              <w:t>6.2</w:t>
            </w:r>
          </w:p>
        </w:tc>
        <w:tc>
          <w:tcPr>
            <w:tcW w:w="106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查“目标分解考核表”，显示对目标按照部门进行了分解；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查见财务科目标分解及完成情况：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a.环保、安全资金提供及时率100%。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b.员工重大伤亡率为0；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c．火灾事故发生率为0；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d. 固体废弃物分类处置率100%；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e.职业病发病率为0；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考核结果显示2022.3.30所有目标均已完成。</w:t>
            </w:r>
          </w:p>
        </w:tc>
        <w:tc>
          <w:tcPr>
            <w:tcW w:w="982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72" w:type="dxa"/>
            <w:vAlign w:val="top"/>
          </w:tcPr>
          <w:p>
            <w:pPr>
              <w:spacing w:line="240" w:lineRule="auto"/>
              <w:rPr>
                <w:rFonts w:ascii="宋体" w:hAnsi="宋体" w:cs="Arial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环境因素/危险源辨识与评价</w:t>
            </w:r>
          </w:p>
          <w:p>
            <w:pPr>
              <w:spacing w:line="240" w:lineRule="auto"/>
              <w:rPr>
                <w:rFonts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措施的策划</w:t>
            </w:r>
          </w:p>
        </w:tc>
        <w:tc>
          <w:tcPr>
            <w:tcW w:w="1148" w:type="dxa"/>
            <w:vAlign w:val="top"/>
          </w:tcPr>
          <w:p>
            <w:pPr>
              <w:spacing w:line="240" w:lineRule="auto"/>
              <w:rPr>
                <w:rFonts w:ascii="宋体" w:hAnsi="宋体" w:cs="Arial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E</w:t>
            </w:r>
            <w:r>
              <w:rPr>
                <w:rFonts w:hint="eastAsia" w:ascii="宋体" w:hAnsi="宋体" w:cs="Arial"/>
                <w:szCs w:val="21"/>
                <w:highlight w:val="none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szCs w:val="21"/>
                <w:highlight w:val="none"/>
              </w:rPr>
              <w:t>:6.1.2</w:t>
            </w:r>
          </w:p>
          <w:p>
            <w:pPr>
              <w:spacing w:line="240" w:lineRule="auto"/>
              <w:rPr>
                <w:rFonts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Arial"/>
                <w:szCs w:val="21"/>
                <w:highlight w:val="none"/>
              </w:rPr>
              <w:t>6.1.4</w:t>
            </w:r>
          </w:p>
        </w:tc>
        <w:tc>
          <w:tcPr>
            <w:tcW w:w="1060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查环境因素和危险源识别评价与控制程序，文件有效，无变化。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“环境因素辨识和评价表”，识别考虑了正常、异常、紧急，过去、现在、未来三种时态，考虑了供方、客户等可施加影响的环境因素，能考虑到产品生命周期观点，如产品生产流程设计活动、生产活动、检验活动、运输活动的环境因素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对办公场所的：生活垃圾的处置不当污染环境、空调冷凝水排放污染水土、废纸/废电池随意丢弃污染环境、办公场所吸烟污染环境、复印机打印机废墨盒处置污染环境、干粉灭火器使用污染水土、火灾发生后废弃物污染大气、水土、能源消耗、水电消耗等20项环境因素进行了识别，识别时能考虑产品生命周期观点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采用打分法评价，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查《重要环境因素清单》，办公活动的重要环境因素主要是用电过程的潜在火灾；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“职业安全健康管理体系危害辨识、风险评价、风险控制工作表”，对办公活动、采购销售过程、检验过程、生产过程中的危险源如不间断电源短路引起弧光，烟头未及时熄灭或直接扔到纸篓中，地面有油参观者滑倒，焊接废气、机加工作业噪音太大，生产过程未戴防护用品造成人身伤害、设备噪声超标等危险源进行了辨识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采用D=LEC法评价进行评价；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查《不可接受危险源清单》，办公活动中没有不可接受风险；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查“管理目标及方案”，制定了技术措施，明确了经费预算。</w:t>
            </w:r>
          </w:p>
        </w:tc>
        <w:tc>
          <w:tcPr>
            <w:tcW w:w="982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72" w:type="dxa"/>
            <w:vAlign w:val="top"/>
          </w:tcPr>
          <w:p>
            <w:pPr>
              <w:spacing w:line="240" w:lineRule="auto"/>
              <w:rPr>
                <w:rFonts w:hint="default" w:ascii="宋体" w:hAnsi="宋体" w:eastAsia="宋体" w:cs="Arial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highlight w:val="none"/>
                <w:lang w:val="en-US" w:eastAsia="zh-CN"/>
              </w:rPr>
              <w:t>资源</w:t>
            </w:r>
          </w:p>
        </w:tc>
        <w:tc>
          <w:tcPr>
            <w:tcW w:w="1148" w:type="dxa"/>
            <w:vAlign w:val="top"/>
          </w:tcPr>
          <w:p>
            <w:pPr>
              <w:spacing w:line="240" w:lineRule="auto"/>
              <w:rPr>
                <w:rFonts w:hint="default" w:ascii="宋体" w:hAnsi="宋体" w:eastAsia="宋体" w:cs="Arial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highlight w:val="none"/>
                <w:lang w:val="en-US" w:eastAsia="zh-CN"/>
              </w:rPr>
              <w:t>QEO:7.1</w:t>
            </w:r>
          </w:p>
        </w:tc>
        <w:tc>
          <w:tcPr>
            <w:tcW w:w="1060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查见财务部提供的信息，2022.1-2022.5安环费用投入6.8万余元，满足要求。</w:t>
            </w:r>
          </w:p>
        </w:tc>
        <w:tc>
          <w:tcPr>
            <w:tcW w:w="982" w:type="dxa"/>
            <w:vAlign w:val="top"/>
          </w:tcPr>
          <w:p>
            <w:pPr>
              <w:spacing w:line="360" w:lineRule="auto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72" w:type="dxa"/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 w:eastAsia="宋体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运行控制</w:t>
            </w:r>
          </w:p>
        </w:tc>
        <w:tc>
          <w:tcPr>
            <w:tcW w:w="1148" w:type="dxa"/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 w:eastAsia="宋体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EO</w:t>
            </w:r>
            <w:r>
              <w:rPr>
                <w:rFonts w:hint="eastAsia" w:ascii="宋体" w:hAnsi="宋体" w:cs="Arial"/>
                <w:szCs w:val="21"/>
                <w:highlight w:val="none"/>
                <w:lang w:val="en-US" w:eastAsia="zh-CN"/>
              </w:rPr>
              <w:t>:</w:t>
            </w:r>
            <w:r>
              <w:rPr>
                <w:rFonts w:hint="eastAsia" w:ascii="宋体" w:hAnsi="宋体" w:cs="Arial"/>
                <w:szCs w:val="21"/>
                <w:highlight w:val="none"/>
              </w:rPr>
              <w:t>8.1</w:t>
            </w:r>
          </w:p>
        </w:tc>
        <w:tc>
          <w:tcPr>
            <w:tcW w:w="106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公司策划了如下要求对环境、安全体系运行进行控制，具体如下：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企业位于江西省南昌市新建区乐化，有车间仓库和办公楼，企业属于一般金属品加工行业，企业四邻无敏感区域。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编制了运行控制程序、废弃物控制程序、消防控制程序、资源能源控制程序、应急准备和响应控制程序、劳动保护管理规定、职业卫生管理规定、安全生产检查及隐患治理规定、废弃物处理规定、环境保护管理规定、消防管理规定等文件规定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现场观察：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工作场所布局合理，座椅和办公桌符合人体工程学要求，员工有自我防护意识，工间能适当走动、休息；各工作人员坐姿正确，避免过度疲劳；配置有适量的绿植，办公环境光照、温度适宜，通风良好，办公场所物品摆放整齐、有序，未见随意乱放私人物品的情况；满足办公需求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电路、电源正常，电路布线合理、电气插座完整，未见破损，无乱拉乱接电线、使用超额电气等现象；未见用电不当等安全隐患及不良影响现象。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查见配置有灭火器，状态良好。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节约用水用电、纸张双面使用；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生活废水经污水处理装置处理后通过市政管网排放；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办公环境安静，无明显噪声和废气；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办公垃圾由环卫部门收集处理；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办公用墨盒硒鼓等危废以旧换新；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对部门员工进行了不定期的交通安全宣传；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查见“相关方告知书”，有效文件，对供方进行了环境和职业健康安全有关事项的沟通。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部门运行控制基本符合规定要求。</w:t>
            </w:r>
          </w:p>
        </w:tc>
        <w:tc>
          <w:tcPr>
            <w:tcW w:w="982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72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应急准备和响应</w:t>
            </w:r>
          </w:p>
        </w:tc>
        <w:tc>
          <w:tcPr>
            <w:tcW w:w="1148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EO8.2</w:t>
            </w:r>
          </w:p>
        </w:tc>
        <w:tc>
          <w:tcPr>
            <w:tcW w:w="1060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参加厂办组织的应急演练，详见厂办记录。</w:t>
            </w:r>
          </w:p>
        </w:tc>
        <w:tc>
          <w:tcPr>
            <w:tcW w:w="982" w:type="dxa"/>
            <w:vAlign w:val="top"/>
          </w:tcPr>
          <w:p>
            <w:pPr>
              <w:spacing w:line="360" w:lineRule="auto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1DBB1C00"/>
    <w:rsid w:val="6CF625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  <w:ind w:firstLine="720" w:firstLineChars="2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1509</Words>
  <Characters>1621</Characters>
  <Lines>1</Lines>
  <Paragraphs>1</Paragraphs>
  <TotalTime>4</TotalTime>
  <ScaleCrop>false</ScaleCrop>
  <LinksUpToDate>false</LinksUpToDate>
  <CharactersWithSpaces>1656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2022-06-17T03:40:51Z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ADCF9189D9B64962B569586B744843D4</vt:lpwstr>
  </property>
  <property fmtid="{D5CDD505-2E9C-101B-9397-08002B2CF9AE}" pid="3" name="KSOProductBuildVer">
    <vt:lpwstr>2052-11.1.0.11744</vt:lpwstr>
  </property>
</Properties>
</file>