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桐庐精锐医疗器械有限公司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0148-2022-EO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2021-N1EMS-3031946</w:t>
            </w:r>
          </w:p>
          <w:p w:rsidR="002D4D32">
            <w:pPr>
              <w:snapToGrid w:val="0"/>
              <w:spacing w:line="320" w:lineRule="exact"/>
              <w:ind w:left="1309"/>
              <w:rPr>
                <w:sz w:val="22"/>
                <w:szCs w:val="22"/>
                <w:highlight w:val="yellow"/>
              </w:rPr>
            </w:pPr>
            <w:r>
              <w:rPr>
                <w:sz w:val="22"/>
                <w:szCs w:val="22"/>
                <w:highlight w:val="yellow"/>
              </w:rPr>
              <w:t>2022-N1OHSMS-3031946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王献华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2021-N1EMS-1244982</w:t>
            </w:r>
          </w:p>
          <w:p w:rsidR="002D4D32">
            <w:pPr>
              <w:snapToGrid w:val="0"/>
              <w:spacing w:line="320" w:lineRule="exact"/>
              <w:ind w:left="1309"/>
              <w:rPr>
                <w:sz w:val="22"/>
                <w:szCs w:val="22"/>
                <w:highlight w:val="yellow"/>
              </w:rPr>
            </w:pPr>
            <w:r>
              <w:rPr>
                <w:sz w:val="22"/>
                <w:szCs w:val="22"/>
                <w:highlight w:val="yellow"/>
              </w:rPr>
              <w:t>2021-N1OHSMS-1244982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桂成奎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ISC-JSZJ-503</w:t>
            </w:r>
          </w:p>
          <w:p w:rsidR="002D4D32">
            <w:pPr>
              <w:snapToGrid w:val="0"/>
              <w:spacing w:line="320" w:lineRule="exact"/>
              <w:ind w:left="1309"/>
              <w:rPr>
                <w:sz w:val="22"/>
                <w:szCs w:val="22"/>
                <w:highlight w:val="yellow"/>
              </w:rPr>
            </w:pPr>
            <w:r>
              <w:rPr>
                <w:sz w:val="22"/>
                <w:szCs w:val="22"/>
                <w:highlight w:val="yellow"/>
              </w:rPr>
              <w:t>ISC-JSZJ-503</w:t>
            </w:r>
          </w:p>
          <w:p w:rsidR="002D4D32">
            <w:pPr>
              <w:snapToGrid w:val="0"/>
              <w:spacing w:line="320" w:lineRule="exact"/>
              <w:ind w:left="1309"/>
              <w:rPr>
                <w:sz w:val="22"/>
                <w:szCs w:val="22"/>
                <w:highlight w:val="yellow"/>
              </w:rPr>
            </w:pPr>
            <w:r>
              <w:rPr>
                <w:sz w:val="22"/>
                <w:szCs w:val="22"/>
                <w:highlight w:val="yellow"/>
              </w:rPr>
              <w:t>杭州桐庐时空候医疗器械有限公司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