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0101-2021-QEO-2022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湖南新塘电气设备有限公司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pPr>
              <w:rPr>
                <w:rFonts w:ascii="Times New Roman" w:hAnsi="Times New Roman" w:eastAsia="宋体" w:cs="Times New Roman"/>
                <w:kern w:val="2"/>
                <w:sz w:val="21"/>
                <w:szCs w:val="24"/>
                <w:lang w:val="en-US" w:eastAsia="zh-CN" w:bidi="ar-SA"/>
              </w:rPr>
            </w:pPr>
            <w:r>
              <w:t>湖南新塘电气设备有限公司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岳阳经济技术开发区西塘镇三桥村铁塘组</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岳阳经济技术开发区西塘镇三桥村铁塘组</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宋海波</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18169303960</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宋海波</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宋海波</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ascii="Times New Roman" w:hAnsi="Times New Roman" w:eastAsia="宋体" w:cs="Times New Roman"/>
                <w:szCs w:val="21"/>
              </w:rPr>
            </w:pPr>
            <w:r>
              <w:rPr>
                <w:rFonts w:hint="default" w:ascii="Times New Roman" w:hAnsi="Times New Roman" w:eastAsia="宋体" w:cs="Times New Roman"/>
                <w:szCs w:val="21"/>
              </w:rPr>
              <w:t>接地线、个人保安线：采购→绝缘杆和钩→安装钩→调试接地棒→加固接地棒→检验→包装。</w:t>
            </w:r>
          </w:p>
          <w:p>
            <w:pPr>
              <w:rPr>
                <w:rFonts w:hint="default" w:ascii="Times New Roman" w:hAnsi="Times New Roman" w:eastAsia="宋体" w:cs="Times New Roman"/>
                <w:szCs w:val="21"/>
              </w:rPr>
            </w:pPr>
            <w:r>
              <w:rPr>
                <w:rFonts w:hint="default" w:ascii="Times New Roman" w:hAnsi="Times New Roman" w:eastAsia="宋体" w:cs="Times New Roman"/>
                <w:szCs w:val="21"/>
              </w:rPr>
              <w:t>标志牌：采购→裁剪→覆膜→检验→包装</w:t>
            </w:r>
          </w:p>
          <w:p>
            <w:pPr>
              <w:rPr>
                <w:rFonts w:hint="default" w:ascii="Times New Roman" w:hAnsi="Times New Roman" w:eastAsia="宋体" w:cs="Times New Roman"/>
                <w:szCs w:val="21"/>
              </w:rPr>
            </w:pPr>
            <w:r>
              <w:rPr>
                <w:rFonts w:hint="default" w:ascii="Times New Roman" w:hAnsi="Times New Roman" w:eastAsia="宋体" w:cs="Times New Roman"/>
                <w:szCs w:val="21"/>
              </w:rPr>
              <w:t>绝缘梯凳：绝缘方管、梯子棍、铆钉→加工梯子棍→绝缘方管打孔→安装梯子棍→加固梯子棍→安装梯脚→包装。</w:t>
            </w:r>
          </w:p>
          <w:p>
            <w:pPr>
              <w:rPr>
                <w:rFonts w:hint="default" w:ascii="Times New Roman" w:hAnsi="Times New Roman" w:eastAsia="宋体" w:cs="Times New Roman"/>
                <w:szCs w:val="21"/>
              </w:rPr>
            </w:pPr>
            <w:r>
              <w:rPr>
                <w:rFonts w:hint="default" w:ascii="Times New Roman" w:hAnsi="Times New Roman" w:eastAsia="宋体" w:cs="Times New Roman"/>
                <w:szCs w:val="21"/>
              </w:rPr>
              <w:t>绝缘围栏、遮拦：绝缘管→铆钉→绝缘管打孔→组装→检验→包装。</w:t>
            </w:r>
          </w:p>
          <w:p>
            <w:pPr>
              <w:rPr>
                <w:rFonts w:hint="default" w:ascii="Times New Roman" w:hAnsi="Times New Roman" w:eastAsia="宋体" w:cs="Times New Roman"/>
                <w:szCs w:val="21"/>
              </w:rPr>
            </w:pPr>
            <w:r>
              <w:rPr>
                <w:rFonts w:hint="default" w:ascii="Times New Roman" w:hAnsi="Times New Roman" w:eastAsia="宋体" w:cs="Times New Roman"/>
                <w:szCs w:val="21"/>
              </w:rPr>
              <w:t>防鸟设备： 标准件、u型底座-----组装----检验灵活性360°旋转（风力旋转）---铁件腐蚀---检验---入库</w:t>
            </w:r>
          </w:p>
          <w:p>
            <w:pPr>
              <w:rPr>
                <w:rFonts w:hint="default" w:ascii="Times New Roman" w:hAnsi="Times New Roman" w:eastAsia="宋体" w:cs="Times New Roman"/>
                <w:szCs w:val="21"/>
              </w:rPr>
            </w:pPr>
            <w:r>
              <w:rPr>
                <w:rFonts w:hint="default" w:ascii="Times New Roman" w:hAnsi="Times New Roman" w:eastAsia="宋体" w:cs="Times New Roman"/>
                <w:szCs w:val="21"/>
              </w:rPr>
              <w:t>操作杆：成型杆-切割-装配-检验-入库</w:t>
            </w:r>
          </w:p>
          <w:p>
            <w:pPr>
              <w:rPr>
                <w:rFonts w:hint="default" w:ascii="Times New Roman" w:hAnsi="Times New Roman" w:eastAsia="宋体" w:cs="Times New Roman"/>
                <w:szCs w:val="21"/>
              </w:rPr>
            </w:pPr>
            <w:r>
              <w:rPr>
                <w:rFonts w:hint="default" w:ascii="Times New Roman" w:hAnsi="Times New Roman" w:eastAsia="宋体" w:cs="Times New Roman"/>
                <w:szCs w:val="21"/>
              </w:rPr>
              <w:t>绝缘护罩：成型件-修整-卡扣-检验-入库</w:t>
            </w:r>
          </w:p>
          <w:p>
            <w:r>
              <w:rPr>
                <w:rFonts w:hint="default" w:ascii="Times New Roman" w:hAnsi="Times New Roman" w:eastAsia="宋体" w:cs="Times New Roman"/>
                <w:szCs w:val="21"/>
              </w:rPr>
              <w:t>绝缘胶垫：成型件-裁剪-检验-入库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6" w:name="审核日期"/>
            <w:r>
              <w:rPr>
                <w:rFonts w:hint="eastAsia"/>
              </w:rPr>
              <w:t>2022年0</w:t>
            </w:r>
            <w:r>
              <w:rPr>
                <w:rFonts w:hint="eastAsia"/>
                <w:lang w:val="en-US" w:eastAsia="zh-CN"/>
              </w:rPr>
              <w:t>4</w:t>
            </w:r>
            <w:r>
              <w:rPr>
                <w:rFonts w:hint="eastAsia"/>
              </w:rPr>
              <w:t>月</w:t>
            </w:r>
            <w:r>
              <w:rPr>
                <w:rFonts w:hint="eastAsia"/>
                <w:lang w:val="en-US" w:eastAsia="zh-CN"/>
              </w:rPr>
              <w:t>04</w:t>
            </w:r>
            <w:r>
              <w:rPr>
                <w:rFonts w:hint="eastAsia"/>
              </w:rPr>
              <w:t>日 上午至2022年0</w:t>
            </w:r>
            <w:r>
              <w:rPr>
                <w:rFonts w:hint="eastAsia"/>
                <w:lang w:val="en-US" w:eastAsia="zh-CN"/>
              </w:rPr>
              <w:t>4</w:t>
            </w:r>
            <w:r>
              <w:rPr>
                <w:rFonts w:hint="eastAsia"/>
              </w:rPr>
              <w:t>月</w:t>
            </w:r>
            <w:r>
              <w:rPr>
                <w:rFonts w:hint="eastAsia"/>
                <w:lang w:val="en-US" w:eastAsia="zh-CN"/>
              </w:rPr>
              <w:t>05</w:t>
            </w:r>
            <w:r>
              <w:rPr>
                <w:rFonts w:hint="eastAsia"/>
              </w:rPr>
              <w:t>日 上午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05"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5" w:name="二阶段勾选"/>
            <w:r>
              <w:rPr>
                <w:rFonts w:hint="eastAsia"/>
              </w:rPr>
              <w:t>□</w:t>
            </w:r>
            <w:bookmarkEnd w:id="15"/>
            <w:r>
              <w:rPr>
                <w:rFonts w:hint="eastAsia"/>
              </w:rPr>
              <w:t>初审二阶段</w:t>
            </w:r>
            <w:bookmarkStart w:id="16" w:name="监督勾选Add1"/>
            <w:r>
              <w:rPr>
                <w:rFonts w:hint="eastAsia"/>
              </w:rPr>
              <w:t>■</w:t>
            </w:r>
            <w:bookmarkEnd w:id="16"/>
            <w:r>
              <w:rPr>
                <w:rFonts w:hint="eastAsia"/>
              </w:rPr>
              <w:t>监督第</w:t>
            </w:r>
            <w:bookmarkStart w:id="17" w:name="监督次数"/>
            <w:r>
              <w:rPr>
                <w:rFonts w:hint="eastAsia"/>
              </w:rPr>
              <w:t>一</w:t>
            </w:r>
            <w:bookmarkEnd w:id="17"/>
            <w:r>
              <w:rPr>
                <w:rFonts w:hint="eastAsia"/>
              </w:rPr>
              <w:t>次监督审核</w:t>
            </w:r>
            <w:bookmarkStart w:id="18" w:name="再认证勾选"/>
            <w:r>
              <w:rPr>
                <w:rFonts w:hint="eastAsia"/>
              </w:rPr>
              <w:t>□</w:t>
            </w:r>
            <w:bookmarkEnd w:id="18"/>
            <w:r>
              <w:rPr>
                <w:rFonts w:hint="eastAsia"/>
              </w:rPr>
              <w:t>再认证</w:t>
            </w:r>
            <w:bookmarkStart w:id="19" w:name="扩项勾选Add1"/>
            <w:r>
              <w:rPr>
                <w:rFonts w:hint="eastAsia"/>
              </w:rPr>
              <w:t>□</w:t>
            </w:r>
            <w:bookmarkEnd w:id="1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bookmarkStart w:id="20" w:name="注册地址"/>
            <w:r>
              <w:rPr>
                <w:rFonts w:asciiTheme="minorEastAsia" w:hAnsiTheme="minorEastAsia" w:eastAsiaTheme="minorEastAsia"/>
                <w:sz w:val="20"/>
              </w:rPr>
              <w:t>岳阳经济技术开发区西塘镇三桥村铁塘组</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1" w:name="审核范围"/>
            <w:r>
              <w:t>Q：安全工器具（接地线（棒）、操作杆、绝缘梯、绝缘护罩、个人保安线、标识牌、立式围栏、移动式遮栏、防鸟设备、绝缘胶垫）的加工，拉线保护套，安全工具柜、电杆防撞桶，脚扣、电杆防撞贴，铁附件、电力金具、劳动防护用品的销售</w:t>
            </w:r>
          </w:p>
          <w:p>
            <w:r>
              <w:t>E：安全工器具（接地线（棒）、操作杆、绝缘梯、绝缘护罩、个人保安线、标识牌、立式围栏、移动式遮栏、防鸟设备、绝缘胶垫）的加工，拉线保护套，安全工具柜、电杆防撞桶，脚扣、电杆防撞贴，铁附件、电力金具、劳动防护用品的销售所涉及场所的相关环境管理活动</w:t>
            </w:r>
          </w:p>
          <w:p>
            <w:r>
              <w:t>O：安全工器具（接地线（棒）、操作杆、绝缘梯、绝缘护罩、个人保安线、标识牌、立式围栏、移动式遮栏、防鸟设备、绝缘胶垫）的加工，拉线保护套，安全工具柜、电杆防撞桶，脚扣、电杆防撞贴，铁附件、电力金具、劳动防护用品的销售所涉及场所的相关职业健康安全管理活动</w:t>
            </w:r>
            <w:bookmarkEnd w:id="21"/>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2" w:name="专业代码"/>
            <w:r>
              <w:t>Q：14.02.04;17.12.03;17.12.05;29.12.00</w:t>
            </w:r>
          </w:p>
          <w:p>
            <w:r>
              <w:t>E：14.02.04;17.12.03;17.12.05;29.12.00</w:t>
            </w:r>
          </w:p>
          <w:p>
            <w:r>
              <w:t>O：14.02.04;17.12.03;17.12.05;29.12.00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8</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2</w:t>
            </w:r>
            <w:r>
              <w:rPr>
                <w:rFonts w:hint="eastAsia"/>
              </w:rPr>
              <w:t>月</w:t>
            </w:r>
            <w:r>
              <w:rPr>
                <w:rFonts w:hint="eastAsia"/>
                <w:lang w:val="en-US" w:eastAsia="zh-CN"/>
              </w:rPr>
              <w:t>20-23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3</w:t>
            </w:r>
            <w:r>
              <w:rPr>
                <w:rFonts w:hint="eastAsia"/>
              </w:rPr>
              <w:t>月</w:t>
            </w:r>
            <w:r>
              <w:rPr>
                <w:rFonts w:hint="eastAsia"/>
                <w:lang w:val="en-US" w:eastAsia="zh-CN"/>
              </w:rPr>
              <w:t>4</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89"/>
        <w:gridCol w:w="630"/>
        <w:gridCol w:w="2430"/>
        <w:gridCol w:w="17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89"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630"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2430"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6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湖南新塘电气设备有限公司</w:t>
            </w:r>
          </w:p>
          <w:p>
            <w:pPr>
              <w:spacing w:before="40" w:after="40"/>
              <w:rPr>
                <w:rFonts w:eastAsia="黑体"/>
                <w:szCs w:val="21"/>
                <w:lang w:val="de-DE" w:eastAsia="ja-JP"/>
              </w:rPr>
            </w:pPr>
            <w:r>
              <w:rPr>
                <w:rFonts w:hint="eastAsia" w:eastAsia="黑体"/>
                <w:szCs w:val="21"/>
                <w:lang w:val="de-DE" w:eastAsia="ja-JP"/>
              </w:rPr>
              <w:t>岳阳经济技术开发区西塘镇三桥村铁塘组</w:t>
            </w:r>
          </w:p>
        </w:tc>
        <w:tc>
          <w:tcPr>
            <w:tcW w:w="1489" w:type="dxa"/>
          </w:tcPr>
          <w:p>
            <w:pPr>
              <w:spacing w:before="40" w:after="40"/>
              <w:rPr>
                <w:rFonts w:eastAsia="黑体"/>
                <w:szCs w:val="21"/>
                <w:lang w:val="de-DE" w:eastAsia="ja-JP"/>
              </w:rPr>
            </w:pPr>
            <w:r>
              <w:rPr>
                <w:rFonts w:hint="eastAsia" w:eastAsia="黑体"/>
                <w:szCs w:val="21"/>
                <w:lang w:val="de-DE" w:eastAsia="ja-JP"/>
              </w:rPr>
              <w:t>岳阳经济技术开发区西塘镇三桥村铁塘组</w:t>
            </w:r>
          </w:p>
        </w:tc>
        <w:tc>
          <w:tcPr>
            <w:tcW w:w="630" w:type="dxa"/>
            <w:vAlign w:val="center"/>
          </w:tcPr>
          <w:p>
            <w:pPr>
              <w:spacing w:before="40" w:after="40"/>
              <w:rPr>
                <w:rFonts w:hint="default" w:eastAsia="黑体"/>
                <w:szCs w:val="21"/>
                <w:lang w:val="en-US" w:eastAsia="zh-CN"/>
              </w:rPr>
            </w:pPr>
            <w:r>
              <w:rPr>
                <w:rFonts w:hint="eastAsia" w:eastAsia="黑体"/>
                <w:szCs w:val="21"/>
                <w:lang w:val="en-US" w:eastAsia="zh-CN"/>
              </w:rPr>
              <w:t>21</w:t>
            </w:r>
          </w:p>
        </w:tc>
        <w:tc>
          <w:tcPr>
            <w:tcW w:w="2430" w:type="dxa"/>
            <w:vAlign w:val="center"/>
          </w:tcPr>
          <w:p>
            <w:pPr>
              <w:pStyle w:val="21"/>
              <w:rPr>
                <w:rFonts w:hint="eastAsia" w:eastAsia="黑体" w:cs="Arial"/>
                <w:sz w:val="21"/>
                <w:szCs w:val="21"/>
                <w:lang w:val="en-US" w:eastAsia="zh-CN"/>
              </w:rPr>
            </w:pPr>
            <w:r>
              <w:rPr>
                <w:rFonts w:hint="eastAsia" w:eastAsia="黑体"/>
                <w:sz w:val="21"/>
                <w:szCs w:val="21"/>
                <w:lang w:val="en-US" w:eastAsia="zh-CN"/>
              </w:rPr>
              <w:t>见上</w:t>
            </w:r>
          </w:p>
        </w:tc>
        <w:tc>
          <w:tcPr>
            <w:tcW w:w="1761"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spacing w:before="40" w:after="40"/>
              <w:rPr>
                <w:rFonts w:hint="eastAsia" w:ascii="宋体" w:hAnsi="宋体"/>
                <w:b w:val="0"/>
                <w:bCs w:val="0"/>
                <w:sz w:val="21"/>
                <w:szCs w:val="21"/>
              </w:rPr>
            </w:pPr>
            <w:r>
              <w:rPr>
                <w:rFonts w:hint="eastAsia" w:ascii="宋体" w:hAnsi="宋体"/>
                <w:b w:val="0"/>
                <w:bCs w:val="0"/>
                <w:sz w:val="21"/>
                <w:szCs w:val="21"/>
              </w:rPr>
              <w:t>GB/T24001-2016</w:t>
            </w:r>
          </w:p>
          <w:p>
            <w:pPr>
              <w:spacing w:before="40" w:after="40"/>
              <w:rPr>
                <w:rFonts w:eastAsia="黑体"/>
                <w:szCs w:val="21"/>
                <w:lang w:eastAsia="ja-JP"/>
              </w:rPr>
            </w:pPr>
            <w:r>
              <w:rPr>
                <w:rFonts w:hint="eastAsia" w:ascii="宋体" w:hAnsi="宋体"/>
                <w:b w:val="0"/>
                <w:bCs w:val="0"/>
                <w:sz w:val="21"/>
                <w:szCs w:val="21"/>
              </w:rPr>
              <w:t>GB/T45001-2020</w:t>
            </w: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180"/>
        <w:gridCol w:w="790"/>
        <w:gridCol w:w="2570"/>
        <w:gridCol w:w="4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88" w:type="dxa"/>
            <w:vAlign w:val="center"/>
          </w:tcPr>
          <w:p>
            <w:r>
              <w:rPr>
                <w:rFonts w:hint="eastAsia"/>
              </w:rPr>
              <w:t>姓名</w:t>
            </w:r>
          </w:p>
        </w:tc>
        <w:tc>
          <w:tcPr>
            <w:tcW w:w="1180" w:type="dxa"/>
            <w:vAlign w:val="center"/>
          </w:tcPr>
          <w:p>
            <w:r>
              <w:rPr>
                <w:rFonts w:hint="eastAsia"/>
              </w:rPr>
              <w:t>组内身份</w:t>
            </w:r>
          </w:p>
        </w:tc>
        <w:tc>
          <w:tcPr>
            <w:tcW w:w="790" w:type="dxa"/>
            <w:vAlign w:val="center"/>
          </w:tcPr>
          <w:p>
            <w:r>
              <w:rPr>
                <w:rFonts w:hint="eastAsia"/>
              </w:rPr>
              <w:t>性别</w:t>
            </w:r>
          </w:p>
        </w:tc>
        <w:tc>
          <w:tcPr>
            <w:tcW w:w="2570" w:type="dxa"/>
            <w:vAlign w:val="center"/>
          </w:tcPr>
          <w:p>
            <w:r>
              <w:rPr>
                <w:rFonts w:hint="eastAsia"/>
              </w:rPr>
              <w:t>审核员注册证书号</w:t>
            </w:r>
          </w:p>
        </w:tc>
        <w:tc>
          <w:tcPr>
            <w:tcW w:w="416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88" w:type="dxa"/>
            <w:vAlign w:val="center"/>
          </w:tcPr>
          <w:p>
            <w:pPr>
              <w:rPr>
                <w:rFonts w:ascii="Times New Roman" w:hAnsi="Times New Roman" w:eastAsia="宋体" w:cs="Times New Roman"/>
                <w:kern w:val="2"/>
                <w:sz w:val="21"/>
                <w:szCs w:val="24"/>
                <w:lang w:val="en-US" w:eastAsia="zh-CN" w:bidi="ar-SA"/>
              </w:rPr>
            </w:pPr>
            <w:r>
              <w:t>吉洁</w:t>
            </w:r>
          </w:p>
        </w:tc>
        <w:tc>
          <w:tcPr>
            <w:tcW w:w="1180" w:type="dxa"/>
            <w:vAlign w:val="center"/>
          </w:tcPr>
          <w:p>
            <w:pPr>
              <w:rPr>
                <w:rFonts w:ascii="Times New Roman" w:hAnsi="Times New Roman" w:eastAsia="宋体" w:cs="Times New Roman"/>
                <w:kern w:val="2"/>
                <w:sz w:val="21"/>
                <w:szCs w:val="24"/>
                <w:lang w:val="en-US" w:eastAsia="zh-CN" w:bidi="ar-SA"/>
              </w:rPr>
            </w:pPr>
            <w:r>
              <w:t>组长</w:t>
            </w:r>
          </w:p>
        </w:tc>
        <w:tc>
          <w:tcPr>
            <w:tcW w:w="790" w:type="dxa"/>
            <w:vAlign w:val="center"/>
          </w:tcPr>
          <w:p>
            <w:pPr>
              <w:rPr>
                <w:rFonts w:ascii="Times New Roman" w:hAnsi="Times New Roman" w:eastAsia="宋体" w:cs="Times New Roman"/>
                <w:kern w:val="2"/>
                <w:sz w:val="21"/>
                <w:szCs w:val="24"/>
                <w:lang w:val="en-US" w:eastAsia="zh-CN" w:bidi="ar-SA"/>
              </w:rPr>
            </w:pPr>
            <w:r>
              <w:t>女</w:t>
            </w:r>
          </w:p>
        </w:tc>
        <w:tc>
          <w:tcPr>
            <w:tcW w:w="2570"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4169" w:type="dxa"/>
            <w:vAlign w:val="center"/>
          </w:tcPr>
          <w:p>
            <w:r>
              <w:t>Q:14.02.04,17.12.03,17.12.05,29.12.00</w:t>
            </w:r>
          </w:p>
          <w:p>
            <w:r>
              <w:t>E:14.02.04,17.12.03,17.12.05,29.12.00</w:t>
            </w:r>
          </w:p>
          <w:p>
            <w:pPr>
              <w:rPr>
                <w:rFonts w:ascii="Times New Roman" w:hAnsi="Times New Roman" w:eastAsia="宋体" w:cs="Times New Roman"/>
                <w:kern w:val="2"/>
                <w:sz w:val="21"/>
                <w:szCs w:val="24"/>
                <w:lang w:val="en-US" w:eastAsia="zh-CN" w:bidi="ar-SA"/>
              </w:rPr>
            </w:pPr>
            <w:r>
              <w:t>O:14.02.04,17.12.03,17.12.05,29.12.00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88" w:type="dxa"/>
            <w:vAlign w:val="center"/>
          </w:tcPr>
          <w:p>
            <w:pPr>
              <w:rPr>
                <w:rFonts w:ascii="Times New Roman" w:hAnsi="Times New Roman" w:eastAsia="宋体" w:cs="Times New Roman"/>
                <w:kern w:val="2"/>
                <w:sz w:val="21"/>
                <w:szCs w:val="24"/>
                <w:lang w:val="en-US" w:eastAsia="zh-CN" w:bidi="ar-SA"/>
              </w:rPr>
            </w:pPr>
            <w:r>
              <w:t>杨园</w:t>
            </w:r>
          </w:p>
        </w:tc>
        <w:tc>
          <w:tcPr>
            <w:tcW w:w="1180" w:type="dxa"/>
            <w:vAlign w:val="center"/>
          </w:tcPr>
          <w:p>
            <w:pPr>
              <w:rPr>
                <w:rFonts w:ascii="Times New Roman" w:hAnsi="Times New Roman" w:eastAsia="宋体" w:cs="Times New Roman"/>
                <w:kern w:val="2"/>
                <w:sz w:val="21"/>
                <w:szCs w:val="24"/>
                <w:lang w:val="en-US" w:eastAsia="zh-CN" w:bidi="ar-SA"/>
              </w:rPr>
            </w:pPr>
            <w:r>
              <w:t>组员</w:t>
            </w:r>
          </w:p>
        </w:tc>
        <w:tc>
          <w:tcPr>
            <w:tcW w:w="790" w:type="dxa"/>
            <w:vAlign w:val="center"/>
          </w:tcPr>
          <w:p>
            <w:pPr>
              <w:rPr>
                <w:rFonts w:ascii="Times New Roman" w:hAnsi="Times New Roman" w:eastAsia="宋体" w:cs="Times New Roman"/>
                <w:kern w:val="2"/>
                <w:sz w:val="21"/>
                <w:szCs w:val="24"/>
                <w:lang w:val="en-US" w:eastAsia="zh-CN" w:bidi="ar-SA"/>
              </w:rPr>
            </w:pPr>
            <w:r>
              <w:t>女</w:t>
            </w:r>
          </w:p>
        </w:tc>
        <w:tc>
          <w:tcPr>
            <w:tcW w:w="2570" w:type="dxa"/>
            <w:vAlign w:val="center"/>
          </w:tcPr>
          <w:p>
            <w:r>
              <w:t>2021-N1QMS-1215052</w:t>
            </w:r>
          </w:p>
          <w:p>
            <w:r>
              <w:t>2022-N1EMS-1215052</w:t>
            </w:r>
          </w:p>
          <w:p>
            <w:pPr>
              <w:rPr>
                <w:rFonts w:ascii="Times New Roman" w:hAnsi="Times New Roman" w:eastAsia="宋体" w:cs="Times New Roman"/>
                <w:kern w:val="2"/>
                <w:sz w:val="21"/>
                <w:szCs w:val="24"/>
                <w:lang w:val="en-US" w:eastAsia="zh-CN" w:bidi="ar-SA"/>
              </w:rPr>
            </w:pPr>
            <w:r>
              <w:t>2022-N1OHSMS-1215052</w:t>
            </w:r>
          </w:p>
        </w:tc>
        <w:tc>
          <w:tcPr>
            <w:tcW w:w="4169" w:type="dxa"/>
            <w:vAlign w:val="center"/>
          </w:tcPr>
          <w:p>
            <w:r>
              <w:t>Q:17.12.03,17.12.05,29.12.00</w:t>
            </w:r>
          </w:p>
          <w:p>
            <w:pPr>
              <w:rPr>
                <w:rFonts w:ascii="Times New Roman" w:hAnsi="Times New Roman" w:eastAsia="宋体" w:cs="Times New Roman"/>
                <w:kern w:val="2"/>
                <w:sz w:val="21"/>
                <w:szCs w:val="24"/>
                <w:lang w:val="en-US" w:eastAsia="zh-CN" w:bidi="ar-SA"/>
              </w:rPr>
            </w:pPr>
            <w:r>
              <w:t>E:14.02.04,17.12.03,17.12.05,29.12.00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88" w:type="dxa"/>
            <w:vAlign w:val="center"/>
          </w:tcPr>
          <w:p>
            <w:r>
              <w:rPr>
                <w:rFonts w:hint="eastAsia"/>
              </w:rPr>
              <w:t>姓名</w:t>
            </w:r>
          </w:p>
        </w:tc>
        <w:tc>
          <w:tcPr>
            <w:tcW w:w="1180" w:type="dxa"/>
            <w:vAlign w:val="center"/>
          </w:tcPr>
          <w:p>
            <w:r>
              <w:rPr>
                <w:rFonts w:hint="eastAsia"/>
              </w:rPr>
              <w:t>作用</w:t>
            </w:r>
          </w:p>
        </w:tc>
        <w:tc>
          <w:tcPr>
            <w:tcW w:w="790" w:type="dxa"/>
            <w:vAlign w:val="center"/>
          </w:tcPr>
          <w:p>
            <w:r>
              <w:rPr>
                <w:rFonts w:hint="eastAsia"/>
              </w:rPr>
              <w:t>性别</w:t>
            </w:r>
          </w:p>
        </w:tc>
        <w:tc>
          <w:tcPr>
            <w:tcW w:w="2570" w:type="dxa"/>
            <w:vAlign w:val="center"/>
          </w:tcPr>
          <w:p>
            <w:r>
              <w:rPr>
                <w:rFonts w:hint="eastAsia"/>
              </w:rPr>
              <w:t>工作单位</w:t>
            </w:r>
          </w:p>
        </w:tc>
        <w:tc>
          <w:tcPr>
            <w:tcW w:w="416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88" w:type="dxa"/>
            <w:vAlign w:val="center"/>
          </w:tcPr>
          <w:p>
            <w:pPr>
              <w:rPr>
                <w:rFonts w:hint="eastAsia" w:eastAsia="宋体"/>
                <w:lang w:val="en-US" w:eastAsia="zh-CN"/>
              </w:rPr>
            </w:pPr>
            <w:r>
              <w:rPr>
                <w:rFonts w:hint="eastAsia"/>
                <w:lang w:val="en-US" w:eastAsia="zh-CN"/>
              </w:rPr>
              <w:t>/</w:t>
            </w:r>
          </w:p>
        </w:tc>
        <w:tc>
          <w:tcPr>
            <w:tcW w:w="1180" w:type="dxa"/>
            <w:vAlign w:val="center"/>
          </w:tcPr>
          <w:p/>
        </w:tc>
        <w:tc>
          <w:tcPr>
            <w:tcW w:w="790" w:type="dxa"/>
            <w:vAlign w:val="center"/>
          </w:tcPr>
          <w:p/>
        </w:tc>
        <w:tc>
          <w:tcPr>
            <w:tcW w:w="2570" w:type="dxa"/>
            <w:vAlign w:val="center"/>
          </w:tcPr>
          <w:p/>
        </w:tc>
        <w:tc>
          <w:tcPr>
            <w:tcW w:w="416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pStyle w:val="2"/>
      </w:pPr>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lang w:val="en-US"/>
              </w:rPr>
            </w:pPr>
            <w:r>
              <w:rPr>
                <w:rFonts w:hint="eastAsia" w:ascii="Times New Roman" w:hAnsi="Times New Roman" w:eastAsia="宋体" w:cs="Times New Roman"/>
                <w:lang w:val="en-US" w:eastAsia="zh-CN"/>
              </w:rPr>
              <w:t>上次不符合项为Q8.4.1E8.1O8.1.4/O9.1.1；生产部EO8.2，本次审核未发现类似问题，采取的措施有效。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23" w:name="Q勾选Add2"/>
            <w:r>
              <w:rPr>
                <w:rFonts w:hint="eastAsia"/>
              </w:rPr>
              <w:t>■</w:t>
            </w:r>
            <w:bookmarkEnd w:id="23"/>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24" w:name="E勾选Add2"/>
            <w:r>
              <w:rPr>
                <w:rFonts w:hint="eastAsia"/>
              </w:rPr>
              <w:t>■</w:t>
            </w:r>
            <w:bookmarkEnd w:id="2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shd w:val="clear" w:color="auto" w:fill="auto"/>
          </w:tcPr>
          <w:p>
            <w:bookmarkStart w:id="25" w:name="S勾选Add2"/>
            <w:r>
              <w:rPr>
                <w:rFonts w:hint="eastAsia"/>
              </w:rPr>
              <w:t>■</w:t>
            </w:r>
            <w:bookmarkEnd w:id="2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9525</wp:posOffset>
                  </wp:positionH>
                  <wp:positionV relativeFrom="paragraph">
                    <wp:posOffset>222885</wp:posOffset>
                  </wp:positionV>
                  <wp:extent cx="925195" cy="44577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25195" cy="445770"/>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2022年4月5日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rPr>
                <w:rFonts w:hint="eastAsia" w:ascii="Times New Roman" w:hAnsi="Times New Roman" w:cs="Times New Roman"/>
                <w:b/>
                <w:bCs/>
              </w:rPr>
            </w:pPr>
            <w:r>
              <w:rPr>
                <w:rFonts w:hint="eastAsia"/>
                <w:b/>
                <w:bCs/>
              </w:rPr>
              <w:t>以质量求生存、以效益求发展</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机遇：公司产品机构调整，给公司带来潜在的客户</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r>
                    <w:rPr>
                      <w:rFonts w:hint="eastAsia" w:cs="Times New Roman"/>
                      <w:sz w:val="18"/>
                      <w:szCs w:val="18"/>
                      <w:lang w:eastAsia="zh-CN"/>
                    </w:rPr>
                    <w:t>市场</w:t>
                  </w:r>
                  <w:r>
                    <w:rPr>
                      <w:rFonts w:hint="eastAsia" w:ascii="Times New Roman" w:hAnsi="Times New Roman" w:eastAsia="宋体" w:cs="Times New Roman"/>
                      <w:sz w:val="18"/>
                      <w:szCs w:val="18"/>
                    </w:rPr>
                    <w:t>部门加大市场开拓</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风险：所采购产品市场不稳定，希望签订的年度合同和保底价格，带来的采购和资金风险</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机遇：所采购产品可能会降价</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对公司影响较大的大宗所采购产品做好年度采购计划</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合格供方选择、评价，进货产品验证</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公司目前主要产品承接产品市场占有份额一般，此类产品企业较多</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机遇：市场竞争加剧，发展压力加大</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及时关注公司产品市场的情况，收集信息及时调整，保持公司产品的竞争力</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4"/>
              <w:gridCol w:w="213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13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4"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产品一次生产检验合格率不低于99%</w:t>
                  </w:r>
                </w:p>
              </w:tc>
              <w:tc>
                <w:tcPr>
                  <w:tcW w:w="2133" w:type="dxa"/>
                  <w:shd w:val="clear" w:color="auto" w:fill="auto"/>
                  <w:vAlign w:val="center"/>
                </w:tcPr>
                <w:p>
                  <w:pPr>
                    <w:rPr>
                      <w:rFonts w:hint="eastAsia" w:ascii="Times New Roman" w:hAnsi="Times New Roman" w:eastAsia="宋体" w:cs="Times New Roman"/>
                      <w:sz w:val="18"/>
                      <w:szCs w:val="18"/>
                      <w:lang w:val="en-GB"/>
                    </w:rPr>
                  </w:pPr>
                  <w:r>
                    <w:rPr>
                      <w:rFonts w:hint="eastAsia" w:ascii="Times New Roman" w:hAnsi="Times New Roman" w:eastAsia="宋体" w:cs="Times New Roman"/>
                      <w:sz w:val="18"/>
                      <w:szCs w:val="18"/>
                      <w:lang w:val="en-GB"/>
                    </w:rPr>
                    <w:t>合格批次/交付批次</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4"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顾客满意度</w:t>
                  </w:r>
                  <w:r>
                    <w:rPr>
                      <w:rFonts w:hint="eastAsia" w:cs="Times New Roman"/>
                      <w:sz w:val="18"/>
                      <w:szCs w:val="18"/>
                      <w:lang w:val="en-US" w:eastAsia="zh-CN"/>
                    </w:rPr>
                    <w:t>100</w:t>
                  </w:r>
                  <w:r>
                    <w:rPr>
                      <w:rFonts w:hint="eastAsia" w:ascii="Times New Roman" w:hAnsi="Times New Roman" w:eastAsia="宋体" w:cs="Times New Roman"/>
                      <w:sz w:val="18"/>
                      <w:szCs w:val="18"/>
                    </w:rPr>
                    <w:t>%</w:t>
                  </w:r>
                </w:p>
              </w:tc>
              <w:tc>
                <w:tcPr>
                  <w:tcW w:w="2133" w:type="dxa"/>
                  <w:shd w:val="clear" w:color="auto" w:fill="auto"/>
                  <w:vAlign w:val="center"/>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GB"/>
                    </w:rPr>
                    <w:t>顾客满意数/接受服务满意度调查的顾客数</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办公室</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100</w:t>
                  </w:r>
                  <w:r>
                    <w:rPr>
                      <w:rFonts w:hint="eastAsia" w:ascii="宋体" w:hAnsi="宋体"/>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4"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产品销售服务交货及时率100%，</w:t>
                  </w:r>
                </w:p>
              </w:tc>
              <w:tc>
                <w:tcPr>
                  <w:tcW w:w="2133" w:type="dxa"/>
                  <w:shd w:val="clear" w:color="auto" w:fill="auto"/>
                  <w:vAlign w:val="center"/>
                </w:tcPr>
                <w:p>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实际统计</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100</w:t>
                  </w:r>
                  <w:r>
                    <w:rPr>
                      <w:rFonts w:hint="eastAsia" w:ascii="宋体" w:hAnsi="宋体"/>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4"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处理顾客反馈信息率和售后服务100%</w:t>
                  </w:r>
                </w:p>
              </w:tc>
              <w:tc>
                <w:tcPr>
                  <w:tcW w:w="2133" w:type="dxa"/>
                  <w:shd w:val="clear" w:color="auto" w:fill="auto"/>
                  <w:vAlign w:val="center"/>
                </w:tcPr>
                <w:p>
                  <w:pPr>
                    <w:rPr>
                      <w:rFonts w:hint="eastAsia" w:ascii="Times New Roman" w:hAnsi="Times New Roman" w:eastAsia="宋体" w:cs="Times New Roman"/>
                      <w:sz w:val="18"/>
                      <w:szCs w:val="18"/>
                      <w:lang w:val="en-GB"/>
                    </w:rPr>
                  </w:pPr>
                  <w:r>
                    <w:rPr>
                      <w:rFonts w:hint="eastAsia" w:cs="Times New Roman"/>
                      <w:sz w:val="18"/>
                      <w:szCs w:val="18"/>
                      <w:lang w:val="en-US" w:eastAsia="zh-CN"/>
                    </w:rPr>
                    <w:t>实际统计</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100</w:t>
                  </w:r>
                  <w:r>
                    <w:rPr>
                      <w:rFonts w:hint="eastAsia" w:ascii="宋体" w:hAnsi="宋体"/>
                      <w:lang w:val="en-GB"/>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eastAsia" w:eastAsia="宋体"/>
                <w:u w:val="single"/>
                <w:lang w:eastAsia="zh-CN"/>
              </w:rPr>
            </w:pPr>
            <w:r>
              <w:rPr>
                <w:rFonts w:hint="eastAsia"/>
              </w:rPr>
              <w:t>主要设备有：</w:t>
            </w:r>
            <w:r>
              <w:rPr>
                <w:rFonts w:hint="eastAsia" w:ascii="楷体" w:hAnsi="楷体" w:eastAsia="楷体"/>
                <w:szCs w:val="21"/>
                <w:lang w:eastAsia="zh-CN"/>
              </w:rPr>
              <w:t>数控车床、磨床、台式钻床、型材切割机、万能铣床、仪表车床</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4"/>
              <w:gridCol w:w="156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tcPr>
                <w:p>
                  <w:pPr>
                    <w:shd w:val="clear" w:color="auto" w:fill="C7DAF1" w:themeFill="text2" w:themeFillTint="32"/>
                    <w:jc w:val="left"/>
                  </w:pPr>
                  <w:r>
                    <w:rPr>
                      <w:rFonts w:hint="eastAsia"/>
                    </w:rPr>
                    <w:t>产品/服务名称</w:t>
                  </w:r>
                </w:p>
              </w:tc>
              <w:tc>
                <w:tcPr>
                  <w:tcW w:w="156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tcPr>
                <w:p>
                  <w:pPr>
                    <w:shd w:val="clear" w:color="auto" w:fill="C7DAF1" w:themeFill="text2" w:themeFillTint="32"/>
                    <w:jc w:val="left"/>
                    <w:rPr>
                      <w:rFonts w:hint="eastAsia" w:eastAsia="宋体"/>
                      <w:lang w:eastAsia="zh-CN"/>
                    </w:rPr>
                  </w:pPr>
                  <w:r>
                    <w:rPr>
                      <w:sz w:val="20"/>
                    </w:rPr>
                    <w:t>安全工器具（接地线（棒）、操作杆、绝缘梯、绝缘护罩、个人保安线、标识牌、立式围栏、移动式遮栏、防鸟设备、绝缘胶垫）的加工，拉线保护套，安全工具柜、电杆防撞桶，脚扣、电杆防撞贴，铁附件、电力金具、劳动防护用品的销售</w:t>
                  </w:r>
                </w:p>
              </w:tc>
              <w:tc>
                <w:tcPr>
                  <w:tcW w:w="1563" w:type="dxa"/>
                </w:tcPr>
                <w:p>
                  <w:pPr>
                    <w:shd w:val="clear" w:color="auto" w:fill="C7DAF1" w:themeFill="text2" w:themeFillTint="32"/>
                    <w:jc w:val="left"/>
                    <w:rPr>
                      <w:rFonts w:hint="default" w:eastAsia="宋体"/>
                      <w:lang w:val="en-US" w:eastAsia="zh-CN"/>
                    </w:rPr>
                  </w:pPr>
                  <w:r>
                    <w:rPr>
                      <w:rFonts w:hint="eastAsia" w:ascii="宋体" w:hAnsi="宋体"/>
                      <w:color w:val="000000"/>
                      <w:sz w:val="20"/>
                      <w:szCs w:val="20"/>
                      <w:u w:val="single"/>
                      <w:lang w:val="en-US" w:eastAsia="zh-CN"/>
                    </w:rPr>
                    <w:t>组装、销售</w:t>
                  </w:r>
                </w:p>
              </w:tc>
              <w:tc>
                <w:tcPr>
                  <w:tcW w:w="3265" w:type="dxa"/>
                </w:tcPr>
                <w:p>
                  <w:pPr>
                    <w:shd w:val="clear" w:color="auto" w:fill="C7DAF1" w:themeFill="text2" w:themeFillTint="32"/>
                    <w:jc w:val="left"/>
                    <w:rPr>
                      <w:rFonts w:hint="default"/>
                      <w:lang w:val="en-US"/>
                    </w:rPr>
                  </w:pPr>
                  <w:r>
                    <w:rPr>
                      <w:rFonts w:hint="eastAsia"/>
                      <w:color w:val="000000"/>
                      <w:u w:val="single"/>
                      <w:lang w:val="en-US" w:eastAsia="zh-CN"/>
                    </w:rPr>
                    <w:t>订单执行时间、需求数量、尺寸</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color w:val="000000"/>
                <w:sz w:val="20"/>
                <w:szCs w:val="20"/>
                <w:u w:val="single"/>
                <w:lang w:val="en-US" w:eastAsia="zh-CN"/>
              </w:rPr>
              <w:t>组装、销售</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lang w:eastAsia="zh-CN"/>
              </w:rPr>
              <w:t>☑</w:t>
            </w:r>
            <w:r>
              <w:rPr>
                <w:rFonts w:hint="eastAsia"/>
              </w:rPr>
              <w:t>顾客调查</w:t>
            </w:r>
            <w:r>
              <w:rPr>
                <w:rFonts w:hint="eastAsia"/>
                <w:lang w:eastAsia="zh-CN"/>
              </w:rPr>
              <w:t>☑</w:t>
            </w:r>
            <w:r>
              <w:rPr>
                <w:rFonts w:hint="eastAsia"/>
              </w:rPr>
              <w:t>顾客对交付产品或服务的反馈</w:t>
            </w:r>
            <w:r>
              <w:rPr>
                <w:rFonts w:hint="eastAsia"/>
                <w:lang w:eastAsia="zh-CN"/>
              </w:rPr>
              <w:t>☑</w:t>
            </w:r>
            <w:r>
              <w:rPr>
                <w:rFonts w:hint="eastAsia"/>
              </w:rPr>
              <w:t>顾客座谈</w:t>
            </w:r>
            <w:r>
              <w:rPr>
                <w:rFonts w:hint="eastAsia"/>
                <w:lang w:eastAsia="zh-CN"/>
              </w:rPr>
              <w:t>□</w:t>
            </w:r>
            <w:r>
              <w:rPr>
                <w:rFonts w:hint="eastAsia"/>
              </w:rPr>
              <w:t>市场占有率分析</w:t>
            </w:r>
            <w:r>
              <w:rPr>
                <w:rFonts w:hint="eastAsia"/>
                <w:lang w:eastAsia="zh-CN"/>
              </w:rPr>
              <w:t>☑</w:t>
            </w:r>
            <w:r>
              <w:rPr>
                <w:rFonts w:hint="eastAsia"/>
              </w:rPr>
              <w:t>顾客赞扬</w:t>
            </w:r>
          </w:p>
          <w:p>
            <w:pPr>
              <w:shd w:val="clear" w:color="auto" w:fill="C7DAF1" w:themeFill="text2" w:themeFillTint="32"/>
            </w:pPr>
            <w:r>
              <w:rPr>
                <w:rFonts w:hint="eastAsia"/>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rPr>
                <w:rFonts w:hint="eastAsia"/>
              </w:rPr>
            </w:pPr>
            <w:r>
              <w:rPr>
                <w:rFonts w:hint="eastAsia"/>
              </w:rPr>
              <w:t>针对顾客不满意的问题进行了分析和改进。</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2021.11.11-12</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2021年11月30日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rPr>
                <w:rFonts w:hint="eastAsia" w:ascii="Times New Roman" w:hAnsi="Times New Roman" w:cs="Times New Roman"/>
                <w:b/>
                <w:bCs/>
              </w:rPr>
            </w:pPr>
            <w:r>
              <w:rPr>
                <w:rFonts w:hint="eastAsia" w:cs="宋体"/>
                <w:b/>
                <w:bCs/>
              </w:rPr>
              <w:t>环保、高效、节能、减排</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4"/>
              <w:gridCol w:w="401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tcPr>
                <w:p>
                  <w:pPr>
                    <w:shd w:val="clear" w:color="auto" w:fill="EBF1DE" w:themeFill="accent3" w:themeFillTint="32"/>
                  </w:pPr>
                  <w:r>
                    <w:rPr>
                      <w:rFonts w:hint="eastAsia"/>
                    </w:rPr>
                    <w:t>主要的风险或机遇描述</w:t>
                  </w:r>
                </w:p>
              </w:tc>
              <w:tc>
                <w:tcPr>
                  <w:tcW w:w="4011"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tcPr>
                <w:p>
                  <w:pPr>
                    <w:shd w:val="clear" w:color="auto" w:fill="EBF1DE" w:themeFill="accent3" w:themeFillTint="32"/>
                    <w:rPr>
                      <w:sz w:val="18"/>
                      <w:szCs w:val="18"/>
                    </w:rPr>
                  </w:pPr>
                  <w:r>
                    <w:rPr>
                      <w:rFonts w:hint="eastAsia"/>
                      <w:sz w:val="18"/>
                      <w:szCs w:val="18"/>
                    </w:rPr>
                    <w:t>公司产品售后服务处理不好，顾客埋怨投诉较多，以及产品寿命结束后的回收处理问题</w:t>
                  </w:r>
                </w:p>
              </w:tc>
              <w:tc>
                <w:tcPr>
                  <w:tcW w:w="4011" w:type="dxa"/>
                </w:tcPr>
                <w:p>
                  <w:pPr>
                    <w:shd w:val="clear" w:color="auto" w:fill="EBF1DE" w:themeFill="accent3" w:themeFillTint="32"/>
                    <w:rPr>
                      <w:sz w:val="18"/>
                      <w:szCs w:val="18"/>
                    </w:rPr>
                  </w:pPr>
                  <w:r>
                    <w:rPr>
                      <w:rFonts w:hint="eastAsia" w:ascii="宋体" w:hAnsi="宋体" w:cs="宋体"/>
                      <w:b w:val="0"/>
                      <w:bCs w:val="0"/>
                      <w:kern w:val="0"/>
                      <w:sz w:val="18"/>
                      <w:szCs w:val="18"/>
                      <w:lang w:val="en-US" w:eastAsia="zh-CN" w:bidi="ar-SA"/>
                    </w:rPr>
                    <w:t>供销</w:t>
                  </w:r>
                  <w:r>
                    <w:rPr>
                      <w:rFonts w:hint="eastAsia" w:ascii="宋体" w:hAnsi="宋体" w:eastAsia="宋体" w:cs="宋体"/>
                      <w:b w:val="0"/>
                      <w:bCs w:val="0"/>
                      <w:kern w:val="0"/>
                      <w:sz w:val="18"/>
                      <w:szCs w:val="18"/>
                      <w:lang w:val="en-US" w:eastAsia="zh-CN" w:bidi="ar-SA"/>
                    </w:rPr>
                    <w:t>部要严格按照售后服务管理规定，做好客户服务工作</w:t>
                  </w:r>
                </w:p>
              </w:tc>
              <w:tc>
                <w:tcPr>
                  <w:tcW w:w="1717" w:type="dxa"/>
                </w:tcPr>
                <w:p>
                  <w:pPr>
                    <w:shd w:val="clear" w:color="auto" w:fill="EBF1DE" w:themeFill="accent3" w:themeFillTint="32"/>
                    <w:rPr>
                      <w:rFonts w:hint="eastAsia"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vAlign w:val="top"/>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生产</w:t>
                  </w:r>
                  <w:r>
                    <w:rPr>
                      <w:rFonts w:hint="default" w:ascii="Times New Roman" w:hAnsi="Times New Roman" w:eastAsia="宋体" w:cs="Times New Roman"/>
                      <w:sz w:val="18"/>
                      <w:szCs w:val="18"/>
                    </w:rPr>
                    <w:t>设备的</w:t>
                  </w:r>
                  <w:r>
                    <w:rPr>
                      <w:rFonts w:hint="eastAsia" w:ascii="Times New Roman" w:hAnsi="Times New Roman" w:eastAsia="宋体" w:cs="Times New Roman"/>
                      <w:sz w:val="18"/>
                      <w:szCs w:val="18"/>
                      <w:lang w:eastAsia="zh-CN"/>
                    </w:rPr>
                    <w:t>生产</w:t>
                  </w:r>
                  <w:r>
                    <w:rPr>
                      <w:rFonts w:hint="default" w:ascii="Times New Roman" w:hAnsi="Times New Roman" w:eastAsia="宋体" w:cs="Times New Roman"/>
                      <w:sz w:val="18"/>
                      <w:szCs w:val="18"/>
                    </w:rPr>
                    <w:t>、环境保障、安全保障能力（保养、大修状况）</w:t>
                  </w:r>
                </w:p>
              </w:tc>
              <w:tc>
                <w:tcPr>
                  <w:tcW w:w="4011" w:type="dxa"/>
                  <w:vAlign w:val="top"/>
                </w:tcPr>
                <w:p>
                  <w:pP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1严格制定保养、大修制度，制定专人进行设备管理。2制定管理方案3检修和保养</w:t>
                  </w:r>
                  <w:r>
                    <w:rPr>
                      <w:rFonts w:hint="eastAsia" w:ascii="Times New Roman" w:hAnsi="Times New Roman" w:cs="Times New Roman"/>
                      <w:sz w:val="18"/>
                      <w:szCs w:val="18"/>
                      <w:lang w:val="en-US" w:eastAsia="zh-CN"/>
                    </w:rPr>
                    <w:t>环保</w:t>
                  </w:r>
                  <w:r>
                    <w:rPr>
                      <w:rFonts w:hint="default" w:ascii="Times New Roman" w:hAnsi="Times New Roman" w:eastAsia="宋体" w:cs="Times New Roman"/>
                      <w:sz w:val="18"/>
                      <w:szCs w:val="18"/>
                    </w:rPr>
                    <w:t>设施。</w:t>
                  </w:r>
                </w:p>
              </w:tc>
              <w:tc>
                <w:tcPr>
                  <w:tcW w:w="1717" w:type="dxa"/>
                  <w:vAlign w:val="top"/>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lang w:eastAsia="zh-CN"/>
              </w:rPr>
              <w:t>□</w:t>
            </w:r>
            <w:r>
              <w:rPr>
                <w:rFonts w:hint="eastAsia"/>
              </w:rPr>
              <w:t>废气排放□粉尘排放</w:t>
            </w:r>
            <w:r>
              <w:rPr>
                <w:rFonts w:hint="eastAsia"/>
                <w:lang w:eastAsia="zh-CN"/>
              </w:rPr>
              <w:t>☑</w:t>
            </w:r>
            <w:r>
              <w:rPr>
                <w:rFonts w:hint="eastAsia"/>
                <w:lang w:val="en-US" w:eastAsia="zh-CN"/>
              </w:rPr>
              <w:t>固</w:t>
            </w:r>
            <w:r>
              <w:rPr>
                <w:rFonts w:hint="eastAsia"/>
              </w:rPr>
              <w:t>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w:t>
            </w:r>
            <w:r>
              <w:rPr>
                <w:rFonts w:hint="eastAsia"/>
                <w:lang w:eastAsia="zh-CN"/>
              </w:rPr>
              <w:t>☑</w:t>
            </w:r>
            <w:r>
              <w:rPr>
                <w:rFonts w:hint="eastAsia"/>
              </w:rPr>
              <w:t>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3499"/>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499"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auto"/>
                </w:tcPr>
                <w:p>
                  <w:pPr>
                    <w:shd w:val="clear" w:color="auto" w:fill="EBF1DE" w:themeFill="accent3" w:themeFillTint="32"/>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固体废物100%分类收集</w:t>
                  </w:r>
                </w:p>
              </w:tc>
              <w:tc>
                <w:tcPr>
                  <w:tcW w:w="3499" w:type="dxa"/>
                  <w:shd w:val="clear" w:color="auto" w:fill="auto"/>
                  <w:vAlign w:val="center"/>
                </w:tcPr>
                <w:p>
                  <w:pPr>
                    <w:shd w:val="clear" w:color="auto" w:fill="EBF1DE" w:themeFill="accent3" w:themeFillTint="32"/>
                    <w:rPr>
                      <w:rFonts w:hint="default"/>
                      <w:sz w:val="18"/>
                      <w:szCs w:val="18"/>
                      <w:lang w:val="en-US"/>
                    </w:rPr>
                  </w:pPr>
                  <w:r>
                    <w:rPr>
                      <w:rFonts w:hint="eastAsia" w:ascii="Times New Roman" w:hAnsi="Times New Roman" w:cs="Times New Roman"/>
                      <w:sz w:val="18"/>
                      <w:szCs w:val="18"/>
                      <w:lang w:val="en-US" w:eastAsia="zh-CN"/>
                    </w:rPr>
                    <w:t>办公室对人员进行培训，办公场所设置</w:t>
                  </w:r>
                  <w:r>
                    <w:rPr>
                      <w:rFonts w:hint="eastAsia" w:cs="Times New Roman"/>
                      <w:sz w:val="18"/>
                      <w:szCs w:val="18"/>
                      <w:lang w:val="en-US" w:eastAsia="zh-CN"/>
                    </w:rPr>
                    <w:t>固废分类处置箱</w:t>
                  </w:r>
                </w:p>
              </w:tc>
              <w:tc>
                <w:tcPr>
                  <w:tcW w:w="1214" w:type="dxa"/>
                  <w:shd w:val="clear" w:color="auto" w:fill="auto"/>
                  <w:vAlign w:val="center"/>
                </w:tcPr>
                <w:p>
                  <w:pPr>
                    <w:shd w:val="clear" w:color="auto" w:fill="EBF1DE" w:themeFill="accent3" w:themeFillTint="32"/>
                    <w:rPr>
                      <w:rFonts w:hint="eastAsia" w:eastAsia="宋体"/>
                      <w:sz w:val="18"/>
                      <w:szCs w:val="18"/>
                      <w:lang w:val="en-US" w:eastAsia="zh-CN"/>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sz w:val="18"/>
                      <w:szCs w:val="18"/>
                      <w:lang w:val="en-US" w:eastAsia="zh-CN"/>
                    </w:rPr>
                  </w:pPr>
                  <w:r>
                    <w:rPr>
                      <w:rFonts w:hint="eastAsia" w:ascii="宋体" w:hAnsi="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auto"/>
                </w:tcPr>
                <w:p>
                  <w:pPr>
                    <w:shd w:val="clear" w:color="auto" w:fill="EBF1DE" w:themeFill="accent3" w:themeFillTint="32"/>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火灾发生率0%</w:t>
                  </w:r>
                </w:p>
              </w:tc>
              <w:tc>
                <w:tcPr>
                  <w:tcW w:w="3499" w:type="dxa"/>
                  <w:shd w:val="clear" w:color="auto" w:fill="auto"/>
                  <w:vAlign w:val="center"/>
                </w:tcPr>
                <w:p>
                  <w:pPr>
                    <w:shd w:val="clear" w:color="auto" w:fill="EBF1DE" w:themeFill="accent3" w:themeFillTint="32"/>
                    <w:rPr>
                      <w:rFonts w:hint="eastAsia"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消防设备按照位置明显，易于使用。在特殊地区严禁烟火和张贴防火标示。定期对安防设备进行检测和演练。加强防火意识和防火设备使用培训</w:t>
                  </w:r>
                </w:p>
              </w:tc>
              <w:tc>
                <w:tcPr>
                  <w:tcW w:w="1214" w:type="dxa"/>
                  <w:shd w:val="clear" w:color="auto" w:fill="auto"/>
                  <w:vAlign w:val="center"/>
                </w:tcPr>
                <w:p>
                  <w:pPr>
                    <w:shd w:val="clear" w:color="auto" w:fill="EBF1DE" w:themeFill="accent3" w:themeFillTint="32"/>
                    <w:rPr>
                      <w:rFonts w:hint="default"/>
                      <w:sz w:val="18"/>
                      <w:szCs w:val="18"/>
                      <w:lang w:val="en-US" w:eastAsia="zh-CN"/>
                    </w:rPr>
                  </w:pPr>
                  <w:r>
                    <w:rPr>
                      <w:rFonts w:hint="eastAsia"/>
                      <w:sz w:val="18"/>
                      <w:szCs w:val="18"/>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sz w:val="18"/>
                      <w:szCs w:val="18"/>
                      <w:lang w:val="en-US" w:eastAsia="zh-CN"/>
                    </w:rPr>
                  </w:pPr>
                  <w:r>
                    <w:rPr>
                      <w:rFonts w:hint="eastAsia" w:ascii="宋体" w:hAnsi="宋体"/>
                      <w:sz w:val="18"/>
                      <w:szCs w:val="18"/>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500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eastAsia="宋体"/>
                <w:u w:val="single"/>
                <w:lang w:eastAsia="zh-CN"/>
              </w:rPr>
            </w:pPr>
            <w:r>
              <w:rPr>
                <w:rFonts w:hint="eastAsia"/>
              </w:rPr>
              <w:t>主要设备有：</w:t>
            </w:r>
            <w:r>
              <w:rPr>
                <w:rFonts w:hint="eastAsia" w:ascii="Times New Roman" w:hAnsi="Times New Roman" w:eastAsia="宋体" w:cs="Times New Roman"/>
                <w:szCs w:val="21"/>
              </w:rPr>
              <w:t>数控车床、磨床、台式钻床、型材切割机、</w:t>
            </w:r>
            <w:r>
              <w:rPr>
                <w:rFonts w:hint="eastAsia" w:ascii="Times New Roman" w:hAnsi="Times New Roman" w:eastAsia="宋体" w:cs="Times New Roman"/>
                <w:sz w:val="21"/>
                <w:szCs w:val="21"/>
              </w:rPr>
              <w:t>万能铣床、仪表车床</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ascii="方正仿宋简体" w:eastAsia="方正仿宋简体"/>
                <w:b/>
                <w:lang w:val="en-US" w:eastAsia="zh-CN"/>
              </w:rPr>
              <w:t>《国家危险废物名录》</w:t>
            </w:r>
            <w:r>
              <w:rPr>
                <w:rFonts w:hint="eastAsia" w:ascii="方正仿宋简体" w:eastAsia="方正仿宋简体" w:cs="Times New Roman"/>
                <w:b/>
                <w:lang w:val="en-US" w:eastAsia="zh-CN"/>
              </w:rPr>
              <w:t>.</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噪声排放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对设备进行维护保养，</w:t>
                  </w: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30</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2021.11.11-12</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2021年11月30日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w:t>
            </w:r>
          </w:p>
          <w:p>
            <w:pPr>
              <w:rPr>
                <w:rFonts w:hint="eastAsia"/>
              </w:rPr>
            </w:pPr>
            <w:r>
              <w:rPr>
                <w:rFonts w:hint="eastAsia"/>
              </w:rPr>
              <w:t>预防为主、安全第一</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pPr>
              <w:rPr>
                <w:rFonts w:hint="eastAsia"/>
              </w:rPr>
            </w:pPr>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生产部</w:t>
            </w:r>
          </w:p>
          <w:p>
            <w:pPr>
              <w:rPr>
                <w:rFonts w:hint="eastAsia"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Times New Roman" w:hAnsi="Times New Roman" w:eastAsia="宋体" w:cs="宋体"/>
              </w:rPr>
              <w:t>代云芳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438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r>
                    <w:rPr>
                      <w:rFonts w:hint="eastAsia"/>
                    </w:rPr>
                    <w:t>主要的风险或机遇描述</w:t>
                  </w:r>
                </w:p>
              </w:tc>
              <w:tc>
                <w:tcPr>
                  <w:tcW w:w="4381"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Align w:val="top"/>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疫情爆发带来的不安定</w:t>
                  </w:r>
                </w:p>
              </w:tc>
              <w:tc>
                <w:tcPr>
                  <w:tcW w:w="4381" w:type="dxa"/>
                  <w:vAlign w:val="top"/>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制定疫情应对措施，配备防疫用品，进出测量体温、定期消杀、外地人员或去过风险地区人员的报备</w:t>
                  </w:r>
                </w:p>
              </w:tc>
              <w:tc>
                <w:tcPr>
                  <w:tcW w:w="1717" w:type="dxa"/>
                </w:tcPr>
                <w:p>
                  <w:pPr>
                    <w:rPr>
                      <w:rFonts w:hint="eastAsia"/>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p>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w:t>
            </w:r>
            <w:r>
              <w:rPr>
                <w:rFonts w:hint="eastAsia"/>
                <w:lang w:eastAsia="zh-CN"/>
              </w:rPr>
              <w:t>□</w:t>
            </w:r>
            <w:r>
              <w:rPr>
                <w:rFonts w:hint="eastAsia"/>
              </w:rPr>
              <w:t>化学伤害</w:t>
            </w:r>
            <w:r>
              <w:rPr>
                <w:rFonts w:hint="eastAsia"/>
                <w:lang w:eastAsia="zh-CN"/>
              </w:rPr>
              <w:t>☑</w:t>
            </w:r>
            <w:r>
              <w:rPr>
                <w:rFonts w:hint="eastAsia"/>
              </w:rPr>
              <w:t>噪声□粉尘</w:t>
            </w:r>
            <w:r>
              <w:rPr>
                <w:rFonts w:hint="eastAsia"/>
                <w:lang w:eastAsia="zh-CN"/>
              </w:rPr>
              <w:t>□</w:t>
            </w:r>
            <w:r>
              <w:rPr>
                <w:rFonts w:hint="eastAsia"/>
              </w:rPr>
              <w:t>危险作业</w:t>
            </w:r>
            <w:r>
              <w:rPr>
                <w:rFonts w:hint="eastAsia"/>
                <w:lang w:eastAsia="zh-CN"/>
              </w:rPr>
              <w:t>□</w:t>
            </w:r>
            <w:r>
              <w:rPr>
                <w:rFonts w:hint="eastAsia"/>
              </w:rPr>
              <w:t>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lang w:eastAsia="zh-CN"/>
              </w:rPr>
              <w:t>□</w:t>
            </w:r>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工伤频率小于1‰</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无重伤及死亡事故</w:t>
                  </w:r>
                </w:p>
                <w:p>
                  <w:r>
                    <w:rPr>
                      <w:rFonts w:hint="eastAsia" w:ascii="Times New Roman" w:hAnsi="Times New Roman" w:cs="Times New Roman"/>
                      <w:sz w:val="18"/>
                      <w:szCs w:val="18"/>
                      <w:lang w:val="en-US" w:eastAsia="zh-CN"/>
                    </w:rPr>
                    <w:t>火灾发生率为零</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办公室对人员进行培训，办公场所设置禁烟警示标识；及时更换失效的消防器材；对火灾进行应急预案演练；定期检查，及时排除火灾隐患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rPr>
                <w:rFonts w:hint="eastAsia" w:eastAsia="宋体"/>
                <w:u w:val="single"/>
                <w:lang w:eastAsia="zh-CN"/>
              </w:rPr>
            </w:pPr>
            <w:r>
              <w:rPr>
                <w:rFonts w:hint="eastAsia"/>
              </w:rPr>
              <w:t>主要设备有：</w:t>
            </w:r>
            <w:r>
              <w:rPr>
                <w:rFonts w:hint="eastAsia" w:ascii="楷体" w:hAnsi="楷体" w:eastAsia="楷体"/>
                <w:szCs w:val="21"/>
                <w:lang w:eastAsia="zh-CN"/>
              </w:rPr>
              <w:t>数控车床、磨床、台式钻床、型材切割机、万能铣床、仪表车床</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ascii="方正仿宋简体" w:eastAsia="方正仿宋简体"/>
                <w:b/>
                <w:lang w:val="en-US" w:eastAsia="zh-CN"/>
              </w:rPr>
              <w:t>《中华人民共和国安全生产法》</w:t>
            </w:r>
            <w:r>
              <w:rPr>
                <w:rFonts w:hint="eastAsia" w:ascii="方正仿宋简体" w:eastAsia="方正仿宋简体" w:cs="Times New Roman"/>
                <w:b/>
                <w:lang w:val="en-US" w:eastAsia="zh-CN"/>
              </w:rPr>
              <w:t>。</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组织的生产和服务提供流程图（见第三条款），企业危险源和职业健康安全风险控制情况</w:t>
            </w:r>
          </w:p>
          <w:p>
            <w:pPr>
              <w:pStyle w:val="2"/>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机械伤害</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安全装置□挂牌上锁管理</w:t>
                  </w:r>
                </w:p>
              </w:tc>
              <w:tc>
                <w:tcPr>
                  <w:tcW w:w="220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噪声</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ascii="Times New Roman" w:hAnsi="Times New Roman" w:eastAsia="宋体" w:cs="Times New Roman"/>
                      <w:kern w:val="2"/>
                      <w:sz w:val="21"/>
                      <w:szCs w:val="24"/>
                      <w:lang w:val="en-US" w:eastAsia="zh-CN" w:bidi="ar-SA"/>
                    </w:rPr>
                  </w:pPr>
                  <w:r>
                    <w:rPr>
                      <w:rFonts w:hint="eastAsia"/>
                    </w:rPr>
                    <w:t>触电</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eastAsia="zh-CN"/>
                    </w:rPr>
                    <w:t>☑</w:t>
                  </w:r>
                  <w:r>
                    <w:rPr>
                      <w:rFonts w:hint="eastAsia"/>
                    </w:rPr>
                    <w:t>漏电保护□绝缘用具检测</w:t>
                  </w:r>
                </w:p>
              </w:tc>
              <w:tc>
                <w:tcPr>
                  <w:tcW w:w="220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管理方案、应急预案</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rPr>
                <w:rFonts w:hint="eastAsia" w:eastAsia="宋体"/>
                <w:lang w:eastAsia="zh-CN"/>
              </w:rPr>
            </w:pPr>
            <w:r>
              <w:rPr>
                <w:rFonts w:hint="eastAsia"/>
              </w:rPr>
              <w:t>特种设备检测报告，如：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18</w:t>
            </w:r>
            <w:r>
              <w:rPr>
                <w:rFonts w:hint="eastAsia"/>
              </w:rPr>
              <w:t>日进行了</w:t>
            </w:r>
            <w:r>
              <w:rPr>
                <w:rFonts w:hint="eastAsia"/>
                <w:lang w:val="en-US" w:eastAsia="zh-CN"/>
              </w:rPr>
              <w:t>机械伤害</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2021.11.11-12</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rPr>
                <w:rFonts w:hint="eastAsia" w:ascii="Times New Roman" w:hAnsi="Times New Roman" w:eastAsia="宋体" w:cs="Times New Roman"/>
              </w:rPr>
            </w:pPr>
            <w:bookmarkStart w:id="26" w:name="_GoBack"/>
            <w:bookmarkEnd w:id="26"/>
          </w:p>
          <w:p>
            <w:pPr>
              <w:rPr>
                <w:rFonts w:hint="eastAsia" w:ascii="Times New Roman" w:hAnsi="Times New Roman" w:eastAsia="宋体" w:cs="Times New Roman"/>
              </w:rPr>
            </w:pPr>
            <w:r>
              <w:rPr>
                <w:rFonts w:hint="eastAsia" w:ascii="Times New Roman" w:hAnsi="Times New Roman" w:eastAsia="宋体" w:cs="Times New Roman"/>
              </w:rPr>
              <w:t>若是组织多场所/临时场所：（按照组织的实际情况选择）</w:t>
            </w:r>
          </w:p>
          <w:p>
            <w:pPr>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内审贯穿了多场所/临时现场，内审的验证结论是正面的。管理者代表相应的职权覆盖了所有的场所。）</w:t>
            </w:r>
          </w:p>
          <w:p>
            <w:pPr>
              <w:pStyle w:val="2"/>
              <w:rPr>
                <w:rFonts w:hint="eastAsia"/>
              </w:rPr>
            </w:pP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2021年11月30日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3297211"/>
    <w:rsid w:val="3D054292"/>
    <w:rsid w:val="5BE7571F"/>
    <w:rsid w:val="705C68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正文 首行缩进:  2 字符"/>
    <w:basedOn w:val="1"/>
    <w:qFormat/>
    <w:uiPriority w:val="0"/>
    <w:pPr>
      <w:ind w:firstLine="200" w:firstLineChars="200"/>
    </w:pPr>
    <w:rPr>
      <w:rFonts w:cs="宋体"/>
      <w:sz w:val="24"/>
      <w:szCs w:val="2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2022-04-10T02:39:16Z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