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创辉科技有限公司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河北省石家庄市桥西区石风路2号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河北省石家庄市桥西区石风路2号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赵京敏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18033799005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41206545@qq.com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计算机软件开发，系统集成；电子产品、消防设备的销售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29.12.00;33.02.01;33.02.02</w:t>
            </w:r>
            <w:bookmarkEnd w:id="2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CH-QM-202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>1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2022年03月31日 上午至2022年04月01日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2.0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尹绪坤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石家庄恒领电子科技有限公司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13833386393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尹绪坤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石家庄恒领电子科技有限公司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13833386393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880735" cy="777748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777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  <w:bookmarkStart w:id="25" w:name="_GoBack"/>
      <w:bookmarkEnd w:id="25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85"/>
        <w:gridCol w:w="875"/>
        <w:gridCol w:w="4492"/>
        <w:gridCol w:w="180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44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7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0" w:firstLineChars="10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3-31</w:t>
            </w: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08:00-08：30</w:t>
            </w:r>
          </w:p>
        </w:tc>
        <w:tc>
          <w:tcPr>
            <w:tcW w:w="87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92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180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08:30-1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:00</w:t>
            </w:r>
          </w:p>
        </w:tc>
        <w:tc>
          <w:tcPr>
            <w:tcW w:w="87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4492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1808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QMS：4.1/4.2/4.3/4.4/5.1/5.2/5.3/6.1/6.2/6.3/7.1.1/7.1.2/7.3/7.4/9.1.1/9.3/10.1/10.3</w:t>
            </w: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:00</w:t>
            </w:r>
          </w:p>
          <w:p>
            <w:pPr>
              <w:pStyle w:val="2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875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492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部门职责和权限；目标实现情况；人员聘用，组织知识、培训，能力、意识的培养；企业知识管理的方法、措施及效果；沟通方式和内容，形成文件的信息；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采购过程管理；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分析与评价；内部审核实施及有效性； </w:t>
            </w:r>
          </w:p>
        </w:tc>
        <w:tc>
          <w:tcPr>
            <w:tcW w:w="1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5.3/6.2/7.1.2/7.1.6/7.2-7.5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/9.1.1/9.1.3/9.2 </w:t>
            </w: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875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492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部门职责和权限；目标实现情况；产品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/服务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实现的策划 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产品和服务的要求；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生产和服务提供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顾客财产；交付后活动；顾客满意</w:t>
            </w:r>
          </w:p>
        </w:tc>
        <w:tc>
          <w:tcPr>
            <w:tcW w:w="180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5.3/6.2/8.1/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8.5.1/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8.5.3/8.5.5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8.7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85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  <w:t>8: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875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4492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部门职责和权限；目标实现情况；基础设施配置与管理；监视和测量设备；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研发过程的策划；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设计开发；标识和可追溯性管理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产品防护；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交付后活动；产品的放行 </w:t>
            </w:r>
          </w:p>
        </w:tc>
        <w:tc>
          <w:tcPr>
            <w:tcW w:w="180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5.3/6.2/7.1.5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8.3/8.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5/8.6/8.7/10.2</w:t>
            </w:r>
          </w:p>
        </w:tc>
        <w:tc>
          <w:tcPr>
            <w:tcW w:w="70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2:00</w:t>
            </w:r>
          </w:p>
          <w:p>
            <w:pPr>
              <w:pStyle w:val="2"/>
              <w:rPr>
                <w:rFonts w:hint="eastAsia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875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4492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部门职责和权限；目标实现情况；基础设施配置与管理；过程运行环境管理；监视和测量设备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产品实现的策划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生产和服务提供；标识和可追溯性管理；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顾客财产；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产品防护；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交付后活动；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更改控制；产品和服务的放行；不合格输出的控制、纠正措施</w:t>
            </w:r>
          </w:p>
          <w:p>
            <w:pPr>
              <w:pStyle w:val="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公司与在建项目19公里，往返车程60分钟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0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5.3/6.2/7.1.3/7.1.4/7.1.5/8.1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8.5.1/8.5.2/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8.5.4/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8.5.6/8.6/8.7/10.2</w:t>
            </w:r>
          </w:p>
        </w:tc>
        <w:tc>
          <w:tcPr>
            <w:tcW w:w="70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12:00-1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87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4492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午饭</w:t>
            </w:r>
          </w:p>
        </w:tc>
        <w:tc>
          <w:tcPr>
            <w:tcW w:w="180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92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180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2"/>
      </w:pP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5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8DF"/>
    <w:rsid w:val="00210401"/>
    <w:rsid w:val="00237826"/>
    <w:rsid w:val="002548DF"/>
    <w:rsid w:val="30C87E2E"/>
    <w:rsid w:val="47546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836</Words>
  <Characters>4768</Characters>
  <Lines>39</Lines>
  <Paragraphs>11</Paragraphs>
  <ScaleCrop>false</ScaleCrop>
  <LinksUpToDate>false</LinksUpToDate>
  <CharactersWithSpaces>5593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2022-04-03T00:25:25Z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