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AD1FC9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196F96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AD1F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532C9"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彭鹰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AD1F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2532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D1FC9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196F96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AD1FC9"/>
        </w:tc>
        <w:tc>
          <w:tcPr>
            <w:tcW w:w="415" w:type="dxa"/>
            <w:vAlign w:val="center"/>
          </w:tcPr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D1FC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AD1FC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196F96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AD1FC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D1FC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AD1FC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96F96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AD1FC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D1FC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AD1FC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96F96">
        <w:trPr>
          <w:trHeight w:val="652"/>
        </w:trPr>
        <w:tc>
          <w:tcPr>
            <w:tcW w:w="1776" w:type="dxa"/>
            <w:vAlign w:val="center"/>
          </w:tcPr>
          <w:p w:rsidR="00982091" w:rsidRDefault="00AD1F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2532C9">
            <w:pPr>
              <w:jc w:val="center"/>
              <w:rPr>
                <w:rFonts w:ascii="宋体" w:hAnsi="宋体" w:cs="宋体"/>
                <w:sz w:val="24"/>
              </w:rPr>
            </w:pPr>
            <w:r w:rsidRPr="002532C9">
              <w:rPr>
                <w:rFonts w:ascii="宋体" w:hAnsi="宋体" w:cs="宋体" w:hint="eastAsia"/>
                <w:sz w:val="24"/>
              </w:rPr>
              <w:t>江西万佳保险设备有限公司</w:t>
            </w:r>
          </w:p>
        </w:tc>
        <w:tc>
          <w:tcPr>
            <w:tcW w:w="1300" w:type="dxa"/>
            <w:vAlign w:val="center"/>
          </w:tcPr>
          <w:p w:rsidR="00982091" w:rsidRDefault="00AD1F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2532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</w:p>
        </w:tc>
      </w:tr>
      <w:tr w:rsidR="00196F96">
        <w:trPr>
          <w:trHeight w:val="402"/>
        </w:trPr>
        <w:tc>
          <w:tcPr>
            <w:tcW w:w="1776" w:type="dxa"/>
          </w:tcPr>
          <w:p w:rsidR="00982091" w:rsidRDefault="00AD1F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AD1FC9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196F96">
        <w:tc>
          <w:tcPr>
            <w:tcW w:w="1776" w:type="dxa"/>
            <w:vAlign w:val="center"/>
          </w:tcPr>
          <w:p w:rsidR="00982091" w:rsidRDefault="00AD1F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196F96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196F96">
        <w:trPr>
          <w:trHeight w:val="258"/>
        </w:trPr>
        <w:tc>
          <w:tcPr>
            <w:tcW w:w="1776" w:type="dxa"/>
            <w:vAlign w:val="center"/>
          </w:tcPr>
          <w:p w:rsidR="00982091" w:rsidRDefault="00AD1FC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AD1F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AD1F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AD1F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AD1F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96F96">
        <w:trPr>
          <w:trHeight w:val="258"/>
        </w:trPr>
        <w:tc>
          <w:tcPr>
            <w:tcW w:w="1776" w:type="dxa"/>
            <w:vAlign w:val="center"/>
          </w:tcPr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2532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D1FC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D1FC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96F96">
        <w:trPr>
          <w:trHeight w:val="258"/>
        </w:trPr>
        <w:tc>
          <w:tcPr>
            <w:tcW w:w="1776" w:type="dxa"/>
            <w:vAlign w:val="center"/>
          </w:tcPr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2532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D1FC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D1FC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96F96">
        <w:trPr>
          <w:trHeight w:val="258"/>
        </w:trPr>
        <w:tc>
          <w:tcPr>
            <w:tcW w:w="1776" w:type="dxa"/>
            <w:vAlign w:val="center"/>
          </w:tcPr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2532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D1FC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D1FC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96F96">
        <w:trPr>
          <w:trHeight w:val="258"/>
        </w:trPr>
        <w:tc>
          <w:tcPr>
            <w:tcW w:w="1776" w:type="dxa"/>
            <w:vAlign w:val="center"/>
          </w:tcPr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2532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D1FC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D1FC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96F96">
        <w:trPr>
          <w:trHeight w:val="258"/>
        </w:trPr>
        <w:tc>
          <w:tcPr>
            <w:tcW w:w="1776" w:type="dxa"/>
            <w:vAlign w:val="center"/>
          </w:tcPr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2532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D1FC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D1FC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96F96">
        <w:trPr>
          <w:trHeight w:val="258"/>
        </w:trPr>
        <w:tc>
          <w:tcPr>
            <w:tcW w:w="1776" w:type="dxa"/>
            <w:vAlign w:val="center"/>
          </w:tcPr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2532C9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96F96">
        <w:trPr>
          <w:trHeight w:val="258"/>
        </w:trPr>
        <w:tc>
          <w:tcPr>
            <w:tcW w:w="1776" w:type="dxa"/>
            <w:vAlign w:val="center"/>
          </w:tcPr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2532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D1FC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D1FC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96F96">
        <w:trPr>
          <w:trHeight w:val="258"/>
        </w:trPr>
        <w:tc>
          <w:tcPr>
            <w:tcW w:w="1776" w:type="dxa"/>
            <w:vAlign w:val="center"/>
          </w:tcPr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2532C9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96F96">
        <w:trPr>
          <w:trHeight w:val="258"/>
        </w:trPr>
        <w:tc>
          <w:tcPr>
            <w:tcW w:w="1776" w:type="dxa"/>
            <w:vAlign w:val="center"/>
          </w:tcPr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2532C9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96F96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AD1F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2532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D1FC9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D1FC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D1FC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D1FC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96F96">
        <w:trPr>
          <w:trHeight w:val="931"/>
        </w:trPr>
        <w:tc>
          <w:tcPr>
            <w:tcW w:w="1776" w:type="dxa"/>
            <w:vMerge/>
          </w:tcPr>
          <w:p w:rsidR="00982091" w:rsidRDefault="00AD1FC9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AD1FC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196F96">
        <w:trPr>
          <w:trHeight w:val="515"/>
        </w:trPr>
        <w:tc>
          <w:tcPr>
            <w:tcW w:w="1776" w:type="dxa"/>
            <w:vAlign w:val="center"/>
          </w:tcPr>
          <w:p w:rsidR="00982091" w:rsidRDefault="00AD1F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AD1FC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AD1FC9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bookmarkStart w:id="12" w:name="_GoBack"/>
            <w:r>
              <w:rPr>
                <w:rFonts w:ascii="宋体" w:hAnsi="宋体" w:cs="宋体"/>
                <w:sz w:val="24"/>
              </w:rPr>
              <w:t>文波</w:t>
            </w:r>
            <w:bookmarkEnd w:id="11"/>
            <w:bookmarkEnd w:id="12"/>
          </w:p>
          <w:p w:rsidR="00982091" w:rsidRDefault="00AD1FC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AD1F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AD1FC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2532C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2022-3-19</w:t>
            </w:r>
          </w:p>
        </w:tc>
      </w:tr>
    </w:tbl>
    <w:p w:rsidR="00982091" w:rsidRDefault="00AD1FC9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FC9" w:rsidRDefault="00AD1FC9" w:rsidP="00196F96">
      <w:r>
        <w:separator/>
      </w:r>
    </w:p>
  </w:endnote>
  <w:endnote w:type="continuationSeparator" w:id="1">
    <w:p w:rsidR="00AD1FC9" w:rsidRDefault="00AD1FC9" w:rsidP="00196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FC9" w:rsidRDefault="00AD1FC9" w:rsidP="00196F96">
      <w:r>
        <w:separator/>
      </w:r>
    </w:p>
  </w:footnote>
  <w:footnote w:type="continuationSeparator" w:id="1">
    <w:p w:rsidR="00AD1FC9" w:rsidRDefault="00AD1FC9" w:rsidP="00196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AD1FC9" w:rsidP="002532C9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6F96" w:rsidRPr="00196F96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AD1FC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AD1FC9" w:rsidP="002532C9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F96"/>
    <w:rsid w:val="00196F96"/>
    <w:rsid w:val="002532C9"/>
    <w:rsid w:val="00AD1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2022-03-29T05:26:00Z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