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0059-2020-QEO-2022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1089025</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sz w:val="32"/>
          <w:szCs w:val="32"/>
        </w:rPr>
      </w:pPr>
    </w:p>
    <w:p>
      <w:pPr>
        <w:pStyle w:val="13"/>
        <w:rPr>
          <w:sz w:val="32"/>
          <w:szCs w:val="32"/>
        </w:rPr>
      </w:pPr>
    </w:p>
    <w:p>
      <w:pPr>
        <w:pStyle w:val="13"/>
        <w:rPr>
          <w:sz w:val="32"/>
          <w:szCs w:val="32"/>
        </w:rPr>
      </w:pPr>
    </w:p>
    <w:p>
      <w:pPr>
        <w:pStyle w:val="13"/>
        <w:rPr>
          <w:sz w:val="32"/>
          <w:szCs w:val="32"/>
        </w:rPr>
      </w:pPr>
    </w:p>
    <w:p>
      <w:pPr>
        <w:pStyle w:val="13"/>
        <w:rPr>
          <w:sz w:val="32"/>
          <w:szCs w:val="32"/>
        </w:rPr>
      </w:pPr>
    </w:p>
    <w:p>
      <w:pPr>
        <w:pStyle w:val="13"/>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北京京研电力工程设计有限公司</w:t>
      </w:r>
      <w:bookmarkEnd w:id="1"/>
    </w:p>
    <w:p>
      <w:pPr>
        <w:rPr>
          <w:sz w:val="28"/>
          <w:szCs w:val="28"/>
        </w:rPr>
      </w:pPr>
    </w:p>
    <w:p>
      <w:pPr>
        <w:rPr>
          <w:sz w:val="28"/>
          <w:szCs w:val="28"/>
        </w:rPr>
      </w:pPr>
      <w:r>
        <w:rPr>
          <w:rFonts w:hint="eastAsia"/>
          <w:sz w:val="28"/>
          <w:szCs w:val="28"/>
        </w:rPr>
        <w:t>审核体系：</w:t>
      </w:r>
    </w:p>
    <w:p>
      <w:pPr>
        <w:jc w:val="left"/>
        <w:rPr>
          <w:rFonts w:hint="default" w:eastAsia="宋体"/>
          <w:sz w:val="28"/>
          <w:szCs w:val="28"/>
          <w:lang w:val="en-US" w:eastAsia="zh-CN"/>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rFonts w:hint="default" w:eastAsia="宋体"/>
          <w:sz w:val="28"/>
          <w:szCs w:val="28"/>
          <w:lang w:val="en-US" w:eastAsia="zh-CN"/>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rFonts w:hint="eastAsia" w:eastAsia="宋体"/>
          <w:sz w:val="28"/>
          <w:szCs w:val="28"/>
          <w:lang w:val="en-US" w:eastAsia="zh-CN"/>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r>
        <w:rPr>
          <w:rFonts w:hint="eastAsia"/>
          <w:sz w:val="28"/>
          <w:szCs w:val="28"/>
          <w:lang w:val="en-US" w:eastAsia="zh-CN"/>
        </w:rPr>
        <w:t xml:space="preserve"> </w:t>
      </w:r>
    </w:p>
    <w:p>
      <w:pPr>
        <w:jc w:val="left"/>
        <w:rPr>
          <w:rFonts w:hint="eastAsia"/>
          <w:sz w:val="28"/>
          <w:szCs w:val="28"/>
        </w:rPr>
      </w:pPr>
      <w:r>
        <w:rPr>
          <w:rFonts w:hint="eastAsia"/>
          <w:sz w:val="28"/>
          <w:szCs w:val="28"/>
        </w:rPr>
        <w:t xml:space="preserve"> </w:t>
      </w:r>
    </w:p>
    <w:p>
      <w:pPr>
        <w:pStyle w:val="13"/>
        <w:rPr>
          <w:rFonts w:hint="eastAsia"/>
          <w:sz w:val="28"/>
          <w:szCs w:val="28"/>
        </w:rPr>
      </w:pPr>
    </w:p>
    <w:p>
      <w:pPr>
        <w:pStyle w:val="13"/>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vAlign w:val="top"/>
          </w:tcPr>
          <w:p>
            <w:r>
              <w:t>北京京研电力工程设计有限公司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北京市海淀区羊坊店东路21号院1号楼601房间</w:t>
            </w:r>
          </w:p>
        </w:tc>
        <w:tc>
          <w:tcPr>
            <w:tcW w:w="1242" w:type="dxa"/>
            <w:vMerge w:val="restart"/>
            <w:vAlign w:val="center"/>
          </w:tcPr>
          <w:p>
            <w:r>
              <w:rPr>
                <w:rFonts w:hint="eastAsia"/>
              </w:rPr>
              <w:t>邮编</w:t>
            </w:r>
          </w:p>
        </w:tc>
        <w:tc>
          <w:tcPr>
            <w:tcW w:w="1771" w:type="dxa"/>
            <w:vAlign w:val="top"/>
          </w:tcPr>
          <w:p>
            <w:r>
              <w:t>100038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vAlign w:val="top"/>
          </w:tcPr>
          <w:p>
            <w:r>
              <w:t>北京市海淀区羊坊店东路21号院1号楼601房间</w:t>
            </w:r>
          </w:p>
        </w:tc>
        <w:tc>
          <w:tcPr>
            <w:tcW w:w="1242" w:type="dxa"/>
            <w:vMerge w:val="continue"/>
            <w:vAlign w:val="center"/>
          </w:tcPr>
          <w:p/>
        </w:tc>
        <w:tc>
          <w:tcPr>
            <w:tcW w:w="1771" w:type="dxa"/>
            <w:vAlign w:val="top"/>
          </w:tcPr>
          <w:p>
            <w:r>
              <w:t>100038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669" w:type="dxa"/>
            <w:vAlign w:val="center"/>
          </w:tcPr>
          <w:p>
            <w:r>
              <w:rPr>
                <w:rFonts w:hint="eastAsia"/>
              </w:rPr>
              <w:t>联系人</w:t>
            </w:r>
          </w:p>
        </w:tc>
        <w:tc>
          <w:tcPr>
            <w:tcW w:w="1552" w:type="dxa"/>
            <w:vAlign w:val="top"/>
          </w:tcPr>
          <w:p>
            <w:r>
              <w:t>许芳</w:t>
            </w:r>
          </w:p>
        </w:tc>
        <w:tc>
          <w:tcPr>
            <w:tcW w:w="1313" w:type="dxa"/>
            <w:vAlign w:val="center"/>
          </w:tcPr>
          <w:p>
            <w:r>
              <w:rPr>
                <w:rFonts w:hint="eastAsia"/>
              </w:rPr>
              <w:t>电话.</w:t>
            </w:r>
          </w:p>
        </w:tc>
        <w:tc>
          <w:tcPr>
            <w:tcW w:w="2180" w:type="dxa"/>
            <w:vAlign w:val="center"/>
          </w:tcPr>
          <w:p>
            <w:r>
              <w:t>13901066543</w:t>
            </w:r>
          </w:p>
        </w:tc>
        <w:tc>
          <w:tcPr>
            <w:tcW w:w="1242" w:type="dxa"/>
            <w:vAlign w:val="center"/>
          </w:tcPr>
          <w:p>
            <w:r>
              <w:rPr>
                <w:rFonts w:hint="eastAsia"/>
              </w:rPr>
              <w:t>传真</w:t>
            </w:r>
          </w:p>
        </w:tc>
        <w:tc>
          <w:tcPr>
            <w:tcW w:w="1771" w:type="dxa"/>
            <w:vAlign w:val="top"/>
          </w:tcPr>
          <w:p>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袁敬中</w:t>
            </w:r>
          </w:p>
        </w:tc>
        <w:tc>
          <w:tcPr>
            <w:tcW w:w="1313" w:type="dxa"/>
            <w:vAlign w:val="center"/>
          </w:tcPr>
          <w:p>
            <w:r>
              <w:rPr>
                <w:rFonts w:hint="eastAsia"/>
              </w:rPr>
              <w:t>管理者代表</w:t>
            </w:r>
          </w:p>
        </w:tc>
        <w:tc>
          <w:tcPr>
            <w:tcW w:w="2180" w:type="dxa"/>
            <w:vAlign w:val="top"/>
          </w:tcPr>
          <w:p>
            <w:r>
              <w:t>许芳</w:t>
            </w:r>
          </w:p>
        </w:tc>
        <w:tc>
          <w:tcPr>
            <w:tcW w:w="1242" w:type="dxa"/>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vAlign w:val="top"/>
          </w:tcPr>
          <w:p>
            <w:r>
              <w:rPr>
                <w:rFonts w:hint="eastAsia"/>
              </w:rPr>
              <w:t>生产/服务提供流程简图</w:t>
            </w:r>
          </w:p>
          <w:p/>
          <w:p>
            <w:pPr>
              <w:rPr>
                <w:color w:val="0000FF"/>
              </w:rPr>
            </w:pPr>
          </w:p>
        </w:tc>
        <w:tc>
          <w:tcPr>
            <w:tcW w:w="8058" w:type="dxa"/>
            <w:gridSpan w:val="5"/>
            <w:shd w:val="clear" w:color="auto" w:fill="auto"/>
            <w:vAlign w:val="top"/>
          </w:tcPr>
          <w:p>
            <w:pPr>
              <w:rPr>
                <w:rFonts w:hint="eastAsia"/>
                <w:bCs/>
              </w:rPr>
            </w:pPr>
            <w:r>
              <w:rPr>
                <w:rFonts w:hint="eastAsia"/>
                <w:bCs/>
              </w:rPr>
              <w:t>电力工程设计流程</w:t>
            </w:r>
          </w:p>
          <w:p>
            <w:pPr>
              <w:rPr>
                <w:rFonts w:hint="eastAsia"/>
                <w:bCs/>
              </w:rPr>
            </w:pPr>
            <w:r>
              <w:rPr>
                <w:rFonts w:hint="eastAsia"/>
                <w:bCs/>
              </w:rPr>
              <w:t>设计策划（组成项目组、工程设计策划、工程设计开工会、方案策划、施工图专业策划）-设计接口（设计专业间接口）-设计输入-设计输出-设计校审-设计审查-设计完成</w:t>
            </w:r>
          </w:p>
          <w:p>
            <w:pPr>
              <w:rPr>
                <w:rFonts w:hint="eastAsia"/>
                <w:bCs/>
              </w:rPr>
            </w:pPr>
          </w:p>
          <w:p>
            <w:pPr>
              <w:rPr>
                <w:rFonts w:hint="eastAsia"/>
                <w:bCs/>
                <w:lang w:val="en-US" w:eastAsia="zh-CN"/>
              </w:rPr>
            </w:pPr>
            <w:r>
              <w:rPr>
                <w:rFonts w:hint="eastAsia"/>
                <w:bCs/>
              </w:rPr>
              <w:t>电力工程技术咨询</w:t>
            </w:r>
            <w:r>
              <w:rPr>
                <w:rFonts w:hint="eastAsia"/>
                <w:bCs/>
                <w:lang w:val="en-US" w:eastAsia="zh-CN"/>
              </w:rPr>
              <w:t>流程：</w:t>
            </w:r>
          </w:p>
          <w:p>
            <w:pPr>
              <w:rPr>
                <w:rFonts w:hint="eastAsia"/>
                <w:bCs/>
                <w:lang w:val="en-US" w:eastAsia="zh-CN"/>
              </w:rPr>
            </w:pPr>
            <w:r>
              <w:rPr>
                <w:rFonts w:hint="eastAsia"/>
                <w:bCs/>
                <w:lang w:val="en-US" w:eastAsia="zh-CN"/>
              </w:rPr>
              <w:t>组建团队—向业主收集资料（现场收集）现场勘测—梳理分析—编制可研报告或接入系统方案—审查—评审—批复</w:t>
            </w:r>
          </w:p>
          <w:p>
            <w:pPr>
              <w:rPr>
                <w:rFonts w:hint="eastAsia"/>
                <w:bCs/>
              </w:rPr>
            </w:pPr>
          </w:p>
          <w:p>
            <w:pPr>
              <w:rPr>
                <w:rFonts w:hint="eastAsia"/>
                <w:bCs/>
                <w:lang w:val="en-US" w:eastAsia="zh-CN"/>
              </w:rPr>
            </w:pPr>
            <w:r>
              <w:rPr>
                <w:rFonts w:hint="eastAsia"/>
                <w:bCs/>
                <w:lang w:val="en-US" w:eastAsia="zh-CN"/>
              </w:rPr>
              <w:t>特殊过程及需要确认的过程为：</w:t>
            </w:r>
            <w:r>
              <w:rPr>
                <w:rFonts w:hint="eastAsia"/>
                <w:bCs/>
              </w:rPr>
              <w:t>电力工程技术咨询</w:t>
            </w:r>
            <w:r>
              <w:rPr>
                <w:rFonts w:hint="eastAsia"/>
                <w:bCs/>
                <w:lang w:val="en-US" w:eastAsia="zh-CN"/>
              </w:rPr>
              <w:t>过程、电力工程设计过程</w:t>
            </w:r>
          </w:p>
          <w:p>
            <w:pPr>
              <w:rPr>
                <w:color w:val="0000FF"/>
              </w:rPr>
            </w:pP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r>
              <w:rPr>
                <w:rFonts w:hint="eastAsia"/>
              </w:rPr>
              <w:t>审核日期</w:t>
            </w:r>
          </w:p>
        </w:tc>
        <w:tc>
          <w:tcPr>
            <w:tcW w:w="7831" w:type="dxa"/>
            <w:gridSpan w:val="3"/>
            <w:tcMar>
              <w:left w:w="113" w:type="dxa"/>
            </w:tcMar>
            <w:vAlign w:val="top"/>
          </w:tcPr>
          <w:p>
            <w:bookmarkStart w:id="6" w:name="审核日期"/>
            <w:r>
              <w:rPr>
                <w:rFonts w:hint="eastAsia"/>
              </w:rPr>
              <w:t>2022年03月1</w:t>
            </w:r>
            <w:r>
              <w:rPr>
                <w:rFonts w:hint="eastAsia"/>
                <w:lang w:val="en-US" w:eastAsia="zh-CN"/>
              </w:rPr>
              <w:t>6</w:t>
            </w:r>
            <w:r>
              <w:rPr>
                <w:rFonts w:hint="eastAsia"/>
              </w:rPr>
              <w:t>日 上午至2022年03月1</w:t>
            </w:r>
            <w:r>
              <w:rPr>
                <w:rFonts w:hint="eastAsia"/>
                <w:lang w:val="en-US" w:eastAsia="zh-CN"/>
              </w:rPr>
              <w:t>7</w:t>
            </w:r>
            <w:r>
              <w:rPr>
                <w:rFonts w:hint="eastAsia"/>
              </w:rPr>
              <w:t>日 上午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sym w:font="Wingdings" w:char="00A8"/>
            </w:r>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 xml:space="preserve">扩大认证：评价受审核方在申请的扩大认证范围内管理体系的建立、实施运行的符合性及有效性，以确定是否推荐扩大范围的认证注册□其他：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r>
              <w:rPr>
                <w:rFonts w:hint="eastAsia"/>
              </w:rPr>
              <w:t xml:space="preserve">    </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w:t>
            </w:r>
            <w:bookmarkStart w:id="14" w:name="监督勾选Add1"/>
            <w:r>
              <w:rPr>
                <w:rFonts w:hint="eastAsia"/>
              </w:rPr>
              <w:t>■</w:t>
            </w:r>
            <w:bookmarkEnd w:id="14"/>
            <w:r>
              <w:rPr>
                <w:rFonts w:hint="eastAsia"/>
              </w:rPr>
              <w:t>监督</w:t>
            </w:r>
            <w:r>
              <w:rPr>
                <w:rFonts w:hint="eastAsia"/>
                <w:color w:val="FF0000"/>
              </w:rPr>
              <w:t xml:space="preserve"> 第 </w:t>
            </w:r>
            <w:r>
              <w:rPr>
                <w:rFonts w:hint="eastAsia"/>
                <w:color w:val="FF0000"/>
                <w:lang w:val="en-US" w:eastAsia="zh-CN"/>
              </w:rPr>
              <w:t>二</w:t>
            </w:r>
            <w:r>
              <w:rPr>
                <w:rFonts w:hint="eastAsia"/>
                <w:color w:val="FF0000"/>
              </w:rPr>
              <w:t xml:space="preserve"> 次监督审核 </w:t>
            </w:r>
            <w:r>
              <w:rPr>
                <w:rFonts w:hint="eastAsia"/>
              </w:rPr>
              <w:t xml:space="preserve"> </w:t>
            </w:r>
            <w:bookmarkStart w:id="15" w:name="再认证勾选"/>
            <w:r>
              <w:rPr>
                <w:rFonts w:hint="eastAsia"/>
              </w:rPr>
              <w:t>□</w:t>
            </w:r>
            <w:bookmarkEnd w:id="15"/>
            <w:r>
              <w:rPr>
                <w:rFonts w:hint="eastAsia"/>
              </w:rPr>
              <w:t xml:space="preserve">再认证 </w:t>
            </w:r>
            <w:bookmarkStart w:id="16" w:name="扩项勾选Add1"/>
            <w:r>
              <w:rPr>
                <w:rFonts w:hint="eastAsia"/>
              </w:rPr>
              <w:t>□</w:t>
            </w:r>
            <w:bookmarkEnd w:id="16"/>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t>Q：电力工程技术咨询；资质范围内的电力工程（变电工程、送电工程）设计</w:t>
            </w:r>
          </w:p>
          <w:p>
            <w:r>
              <w:t>E：电力工程技术咨询；资质范围内的电力工程（变电工程、送电工程）设计及其场所所涉及的环境管理活动</w:t>
            </w:r>
          </w:p>
          <w:p>
            <w:pPr>
              <w:rPr>
                <w:rFonts w:hint="eastAsia"/>
                <w:color w:val="FF0000"/>
              </w:rPr>
            </w:pPr>
            <w:r>
              <w:t>O：电力工程技术咨询；资质范围内的电力工程（变电工程、送电工程）设计及其场所所涉及的职业健康安全管理活动</w:t>
            </w:r>
          </w:p>
        </w:tc>
        <w:tc>
          <w:tcPr>
            <w:tcW w:w="3215" w:type="dxa"/>
            <w:vAlign w:val="center"/>
          </w:tcPr>
          <w:p>
            <w:pPr>
              <w:rPr>
                <w:color w:val="FF0000"/>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pPr>
              <w:rPr>
                <w:color w:val="FF0000"/>
              </w:rPr>
            </w:pPr>
          </w:p>
        </w:tc>
        <w:tc>
          <w:tcPr>
            <w:tcW w:w="3215" w:type="dxa"/>
            <w:vAlign w:val="center"/>
          </w:tcPr>
          <w:p>
            <w:r>
              <w:t>Q：34.01.02</w:t>
            </w:r>
          </w:p>
          <w:p>
            <w:r>
              <w:t>E：34.01.02</w:t>
            </w:r>
          </w:p>
          <w:p>
            <w:pPr>
              <w:rPr>
                <w:color w:val="FF0000"/>
              </w:rPr>
            </w:pPr>
            <w:r>
              <w:t>O：34.01.02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widowControl/>
              <w:jc w:val="left"/>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pPr>
              <w:widowControl/>
              <w:jc w:val="left"/>
            </w:pPr>
            <w:r>
              <w:rPr>
                <w:rFonts w:hint="eastAsia"/>
                <w:lang w:eastAsia="zh-CN"/>
              </w:rPr>
              <w:t>□</w:t>
            </w:r>
            <w:r>
              <w:rPr>
                <w:rFonts w:hint="eastAsia"/>
              </w:rPr>
              <w:t>其他：</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rPr>
              <w:t xml:space="preserve"> </w:t>
            </w:r>
            <w:r>
              <w:rPr>
                <w:rFonts w:hint="eastAsia"/>
                <w:lang w:val="en-US" w:eastAsia="zh-CN"/>
              </w:rPr>
              <w:t>2020</w:t>
            </w:r>
            <w:r>
              <w:rPr>
                <w:rFonts w:hint="eastAsia"/>
              </w:rPr>
              <w:t>年</w:t>
            </w:r>
            <w:r>
              <w:rPr>
                <w:rFonts w:hint="eastAsia"/>
                <w:lang w:val="en-US" w:eastAsia="zh-CN"/>
              </w:rPr>
              <w:t>5</w:t>
            </w:r>
            <w:r>
              <w:rPr>
                <w:rFonts w:hint="eastAsia"/>
              </w:rPr>
              <w:t xml:space="preserve"> 月  </w:t>
            </w:r>
            <w:r>
              <w:rPr>
                <w:rFonts w:hint="eastAsia"/>
                <w:lang w:val="en-US" w:eastAsia="zh-CN"/>
              </w:rPr>
              <w:t>10</w:t>
            </w:r>
            <w:r>
              <w:rPr>
                <w:rFonts w:hint="eastAsia"/>
              </w:rPr>
              <w:t xml:space="preserve">   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上次审核时间</w:t>
            </w:r>
          </w:p>
        </w:tc>
        <w:tc>
          <w:tcPr>
            <w:tcW w:w="2733"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2021-05-31 -- 2021-05-31</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 xml:space="preserve">有效至 </w:t>
            </w:r>
            <w:r>
              <w:rPr>
                <w:rFonts w:hint="eastAsia"/>
                <w:lang w:val="en-US" w:eastAsia="zh-CN"/>
              </w:rPr>
              <w:t>2023.4.8</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34"/>
        <w:gridCol w:w="958"/>
        <w:gridCol w:w="1917"/>
        <w:gridCol w:w="19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534" w:type="dxa"/>
            <w:shd w:val="clear" w:color="auto" w:fill="F3F3F3"/>
          </w:tcPr>
          <w:p>
            <w:r>
              <w:rPr>
                <w:rFonts w:hint="eastAsia"/>
              </w:rPr>
              <w:t>经营场所的地址</w:t>
            </w:r>
          </w:p>
          <w:p>
            <w:r>
              <w:rPr>
                <w:rFonts w:hint="eastAsia"/>
              </w:rPr>
              <w:t>（多现场和临时现场）</w:t>
            </w:r>
          </w:p>
        </w:tc>
        <w:tc>
          <w:tcPr>
            <w:tcW w:w="958" w:type="dxa"/>
            <w:shd w:val="clear" w:color="auto" w:fill="F3F3F3"/>
            <w:tcMar>
              <w:left w:w="57" w:type="dxa"/>
              <w:right w:w="57" w:type="dxa"/>
            </w:tcMar>
          </w:tcPr>
          <w:p>
            <w:r>
              <w:rPr>
                <w:rFonts w:hint="eastAsia"/>
              </w:rPr>
              <w:t>员工人数</w:t>
            </w:r>
          </w:p>
        </w:tc>
        <w:tc>
          <w:tcPr>
            <w:tcW w:w="1917" w:type="dxa"/>
            <w:shd w:val="clear" w:color="auto" w:fill="F3F3F3"/>
            <w:tcMar>
              <w:left w:w="57" w:type="dxa"/>
              <w:right w:w="57" w:type="dxa"/>
            </w:tcMar>
          </w:tcPr>
          <w:p>
            <w:r>
              <w:rPr>
                <w:rFonts w:hint="eastAsia"/>
              </w:rPr>
              <w:t>审核范围（产品和过程）</w:t>
            </w:r>
          </w:p>
          <w:p/>
          <w:p/>
        </w:tc>
        <w:tc>
          <w:tcPr>
            <w:tcW w:w="190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eastAsia="宋体"/>
                <w:lang w:val="en-US" w:eastAsia="zh-CN"/>
              </w:rPr>
            </w:pPr>
            <w:r>
              <w:rPr>
                <w:rFonts w:hint="eastAsia" w:ascii="宋体" w:hAnsi="宋体" w:cs="宋体"/>
                <w:color w:val="000000"/>
                <w:kern w:val="0"/>
                <w:szCs w:val="21"/>
              </w:rPr>
              <w:t>北京京研电力工程设计有限公司</w:t>
            </w:r>
            <w:r>
              <w:rPr>
                <w:rFonts w:hint="eastAsia" w:ascii="宋体" w:hAnsi="宋体" w:cs="宋体"/>
                <w:color w:val="000000"/>
                <w:kern w:val="0"/>
                <w:szCs w:val="21"/>
                <w:lang w:val="en-US" w:eastAsia="zh-CN"/>
              </w:rPr>
              <w:t>/</w:t>
            </w:r>
            <w:bookmarkStart w:id="17" w:name="注册地址"/>
            <w:r>
              <w:rPr>
                <w:rFonts w:hint="eastAsia" w:ascii="宋体" w:hAnsi="宋体" w:cs="宋体"/>
                <w:color w:val="000000"/>
                <w:kern w:val="0"/>
                <w:szCs w:val="21"/>
              </w:rPr>
              <w:t>北京市海淀区羊坊店东路21号院1号楼601房间</w:t>
            </w:r>
            <w:bookmarkEnd w:id="17"/>
          </w:p>
        </w:tc>
        <w:tc>
          <w:tcPr>
            <w:tcW w:w="1534" w:type="dxa"/>
            <w:vAlign w:val="top"/>
          </w:tcPr>
          <w:p>
            <w:pPr>
              <w:rPr>
                <w:lang w:val="de-DE" w:eastAsia="ja-JP"/>
              </w:rPr>
            </w:pPr>
          </w:p>
          <w:p>
            <w:pPr>
              <w:bidi w:val="0"/>
              <w:ind w:firstLine="462" w:firstLineChars="0"/>
              <w:jc w:val="left"/>
              <w:rPr>
                <w:rFonts w:hint="eastAsia" w:eastAsia="宋体"/>
                <w:lang w:val="en-US" w:eastAsia="zh-CN"/>
              </w:rPr>
            </w:pPr>
            <w:r>
              <w:rPr>
                <w:rFonts w:hint="eastAsia" w:ascii="宋体" w:hAnsi="宋体" w:cs="宋体"/>
                <w:color w:val="000000"/>
                <w:kern w:val="0"/>
                <w:szCs w:val="21"/>
              </w:rPr>
              <w:t>北京市海淀区羊坊店东路21号院1号楼601房间</w:t>
            </w:r>
          </w:p>
        </w:tc>
        <w:tc>
          <w:tcPr>
            <w:tcW w:w="958" w:type="dxa"/>
            <w:vAlign w:val="center"/>
          </w:tcPr>
          <w:p>
            <w:pPr>
              <w:rPr>
                <w:rFonts w:hint="default" w:eastAsia="宋体"/>
                <w:lang w:val="en-US" w:eastAsia="zh-CN"/>
              </w:rPr>
            </w:pPr>
            <w:r>
              <w:rPr>
                <w:rFonts w:hint="eastAsia"/>
                <w:lang w:val="en-US" w:eastAsia="zh-CN"/>
              </w:rPr>
              <w:t>25</w:t>
            </w:r>
          </w:p>
        </w:tc>
        <w:tc>
          <w:tcPr>
            <w:tcW w:w="1917" w:type="dxa"/>
            <w:vAlign w:val="center"/>
          </w:tcPr>
          <w:p>
            <w:pPr>
              <w:rPr>
                <w:rFonts w:hint="eastAsia" w:eastAsia="宋体"/>
                <w:lang w:val="en-US" w:eastAsia="zh-CN"/>
              </w:rPr>
            </w:pPr>
            <w:r>
              <w:rPr>
                <w:rFonts w:ascii="宋体" w:hAnsi="宋体" w:cs="宋体"/>
                <w:color w:val="000000"/>
                <w:kern w:val="0"/>
                <w:szCs w:val="21"/>
              </w:rPr>
              <w:t>电力工程技术咨询；资质范围内的电力工程（变电工程、送电工程）设计</w:t>
            </w:r>
          </w:p>
        </w:tc>
        <w:tc>
          <w:tcPr>
            <w:tcW w:w="1901" w:type="dxa"/>
            <w:vAlign w:val="center"/>
          </w:tcPr>
          <w:p>
            <w:pPr>
              <w:rPr>
                <w:lang w:eastAsia="ja-JP"/>
              </w:rPr>
            </w:pPr>
            <w:r>
              <w:rPr>
                <w:rFonts w:ascii="宋体" w:hAnsi="宋体" w:cs="宋体"/>
                <w:color w:val="000000"/>
                <w:kern w:val="0"/>
                <w:szCs w:val="21"/>
              </w:rPr>
              <w:t>GB/T19001-2016/ISO9001:2015,</w:t>
            </w:r>
          </w:p>
        </w:tc>
        <w:tc>
          <w:tcPr>
            <w:tcW w:w="668"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rFonts w:hint="eastAsia" w:ascii="宋体" w:hAnsi="宋体" w:cs="宋体"/>
                <w:color w:val="000000"/>
                <w:kern w:val="0"/>
                <w:szCs w:val="21"/>
              </w:rPr>
              <w:t>北京京研电力工程设计有限公司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北京市海淀区羊坊店东路21号院1号楼601房间</w:t>
            </w:r>
          </w:p>
        </w:tc>
        <w:tc>
          <w:tcPr>
            <w:tcW w:w="1534" w:type="dxa"/>
            <w:vAlign w:val="top"/>
          </w:tcPr>
          <w:p>
            <w:pPr>
              <w:rPr>
                <w:lang w:val="de-DE" w:eastAsia="ja-JP"/>
              </w:rPr>
            </w:pPr>
          </w:p>
          <w:p>
            <w:pPr>
              <w:bidi w:val="0"/>
              <w:ind w:firstLine="462" w:firstLineChars="0"/>
              <w:jc w:val="left"/>
              <w:rPr>
                <w:lang w:eastAsia="ja-JP"/>
              </w:rPr>
            </w:pPr>
            <w:r>
              <w:rPr>
                <w:rFonts w:hint="eastAsia" w:ascii="宋体" w:hAnsi="宋体" w:cs="宋体"/>
                <w:color w:val="000000"/>
                <w:kern w:val="0"/>
                <w:szCs w:val="21"/>
              </w:rPr>
              <w:t>北京市海淀区羊坊店东路21号院1号楼601房间</w:t>
            </w:r>
          </w:p>
        </w:tc>
        <w:tc>
          <w:tcPr>
            <w:tcW w:w="958" w:type="dxa"/>
            <w:vAlign w:val="center"/>
          </w:tcPr>
          <w:p>
            <w:pPr>
              <w:rPr>
                <w:lang w:eastAsia="ja-JP"/>
              </w:rPr>
            </w:pPr>
            <w:r>
              <w:rPr>
                <w:rFonts w:hint="eastAsia"/>
                <w:lang w:val="en-US" w:eastAsia="zh-CN"/>
              </w:rPr>
              <w:t>25</w:t>
            </w:r>
          </w:p>
        </w:tc>
        <w:tc>
          <w:tcPr>
            <w:tcW w:w="1917" w:type="dxa"/>
            <w:vAlign w:val="center"/>
          </w:tcPr>
          <w:p>
            <w:pPr>
              <w:widowControl/>
              <w:jc w:val="left"/>
              <w:rPr>
                <w:rFonts w:ascii="宋体" w:hAnsi="宋体" w:cs="宋体"/>
                <w:color w:val="000000"/>
                <w:kern w:val="0"/>
                <w:szCs w:val="21"/>
              </w:rPr>
            </w:pPr>
            <w:r>
              <w:rPr>
                <w:rFonts w:ascii="宋体" w:hAnsi="宋体" w:cs="宋体"/>
                <w:color w:val="000000"/>
                <w:kern w:val="0"/>
                <w:szCs w:val="21"/>
              </w:rPr>
              <w:t>E：</w:t>
            </w:r>
            <w:r>
              <w:rPr>
                <w:rFonts w:ascii="宋体" w:hAnsi="宋体" w:cs="宋体"/>
                <w:color w:val="000000"/>
                <w:kern w:val="0"/>
                <w:szCs w:val="21"/>
              </w:rPr>
              <w:t>电力工程技术咨询；资质范围内的电力工程（变电工程、送电工程）设计及其场所所涉及的环境管理活动</w:t>
            </w:r>
          </w:p>
          <w:p>
            <w:pPr>
              <w:rPr>
                <w:lang w:eastAsia="ja-JP"/>
              </w:rPr>
            </w:pPr>
          </w:p>
        </w:tc>
        <w:tc>
          <w:tcPr>
            <w:tcW w:w="1901" w:type="dxa"/>
            <w:vAlign w:val="center"/>
          </w:tcPr>
          <w:p>
            <w:pPr>
              <w:rPr>
                <w:lang w:eastAsia="ja-JP"/>
              </w:rPr>
            </w:pPr>
            <w:r>
              <w:rPr>
                <w:rFonts w:ascii="宋体" w:hAnsi="宋体" w:cs="宋体"/>
                <w:color w:val="000000"/>
                <w:kern w:val="0"/>
                <w:szCs w:val="21"/>
              </w:rPr>
              <w:t>GB/T 24001-2016/ISO14001:2015</w:t>
            </w:r>
          </w:p>
        </w:tc>
        <w:tc>
          <w:tcPr>
            <w:tcW w:w="668"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top"/>
          </w:tcPr>
          <w:p>
            <w:pPr>
              <w:rPr>
                <w:lang w:eastAsia="ja-JP"/>
              </w:rPr>
            </w:pPr>
            <w:r>
              <w:rPr>
                <w:rFonts w:hint="eastAsia" w:ascii="宋体" w:hAnsi="宋体" w:cs="宋体"/>
                <w:color w:val="000000"/>
                <w:kern w:val="0"/>
                <w:szCs w:val="21"/>
              </w:rPr>
              <w:t>北京京研电力工程设计有限公司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北京市海淀区羊坊店东路21号院1号楼601房间</w:t>
            </w:r>
          </w:p>
        </w:tc>
        <w:tc>
          <w:tcPr>
            <w:tcW w:w="1534" w:type="dxa"/>
            <w:vAlign w:val="top"/>
          </w:tcPr>
          <w:p>
            <w:pPr>
              <w:rPr>
                <w:lang w:val="de-DE" w:eastAsia="ja-JP"/>
              </w:rPr>
            </w:pPr>
          </w:p>
          <w:p>
            <w:pPr>
              <w:bidi w:val="0"/>
              <w:ind w:firstLine="462" w:firstLineChars="0"/>
              <w:jc w:val="left"/>
              <w:rPr>
                <w:lang w:eastAsia="ja-JP"/>
              </w:rPr>
            </w:pPr>
            <w:r>
              <w:rPr>
                <w:rFonts w:hint="eastAsia" w:ascii="宋体" w:hAnsi="宋体" w:cs="宋体"/>
                <w:color w:val="000000"/>
                <w:kern w:val="0"/>
                <w:szCs w:val="21"/>
              </w:rPr>
              <w:t>北京市海淀区羊坊店东路21号院1号楼601房间</w:t>
            </w:r>
          </w:p>
        </w:tc>
        <w:tc>
          <w:tcPr>
            <w:tcW w:w="958" w:type="dxa"/>
            <w:vAlign w:val="center"/>
          </w:tcPr>
          <w:p>
            <w:pPr>
              <w:rPr>
                <w:lang w:eastAsia="ja-JP"/>
              </w:rPr>
            </w:pPr>
            <w:r>
              <w:rPr>
                <w:rFonts w:hint="eastAsia"/>
                <w:lang w:val="en-US" w:eastAsia="zh-CN"/>
              </w:rPr>
              <w:t>25</w:t>
            </w:r>
          </w:p>
        </w:tc>
        <w:tc>
          <w:tcPr>
            <w:tcW w:w="1917" w:type="dxa"/>
            <w:vAlign w:val="center"/>
          </w:tcPr>
          <w:p>
            <w:pPr>
              <w:rPr>
                <w:lang w:eastAsia="ja-JP"/>
              </w:rPr>
            </w:pPr>
            <w:r>
              <w:rPr>
                <w:rFonts w:ascii="宋体" w:hAnsi="宋体" w:cs="宋体"/>
                <w:color w:val="000000"/>
                <w:kern w:val="0"/>
                <w:szCs w:val="21"/>
              </w:rPr>
              <w:t>O：</w:t>
            </w:r>
            <w:r>
              <w:rPr>
                <w:rFonts w:ascii="宋体" w:hAnsi="宋体" w:cs="宋体"/>
                <w:color w:val="000000"/>
                <w:kern w:val="0"/>
                <w:szCs w:val="21"/>
              </w:rPr>
              <w:t>电力工程技术咨询；资质范围内的电力工程（变电工程、送电工程）设计及其场所所涉及的职业健康安全管理活动</w:t>
            </w:r>
          </w:p>
        </w:tc>
        <w:tc>
          <w:tcPr>
            <w:tcW w:w="1901" w:type="dxa"/>
            <w:vAlign w:val="center"/>
          </w:tcPr>
          <w:p>
            <w:pPr>
              <w:rPr>
                <w:lang w:eastAsia="ja-JP"/>
              </w:rPr>
            </w:pPr>
            <w:r>
              <w:rPr>
                <w:rFonts w:ascii="宋体" w:hAnsi="宋体" w:cs="宋体"/>
                <w:color w:val="000000"/>
                <w:kern w:val="0"/>
                <w:szCs w:val="21"/>
              </w:rPr>
              <w:t>GB/T45001-2020 / ISO45001：2018</w:t>
            </w:r>
          </w:p>
        </w:tc>
        <w:tc>
          <w:tcPr>
            <w:tcW w:w="668"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pPr>
        <w:rPr>
          <w:rFonts w:hint="eastAsia" w:eastAsia="宋体"/>
          <w:lang w:val="en-US" w:eastAsia="zh-CN"/>
        </w:rPr>
      </w:pPr>
      <w:r>
        <w:rPr>
          <w:rFonts w:hint="eastAsia"/>
        </w:rPr>
        <w:t>本次审核活动按《审核计划》执行。完成情况说明:</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2021-N1QMS-4014142</w:t>
            </w:r>
          </w:p>
          <w:p>
            <w:r>
              <w:t>2020-N1EMS-3014142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r>
              <w:t>Q:34.01.02</w:t>
            </w:r>
          </w:p>
          <w:p>
            <w:r>
              <w:t>E:34.01.02</w:t>
            </w:r>
          </w:p>
          <w:p>
            <w:pPr>
              <w:rPr>
                <w:rFonts w:ascii="Times New Roman" w:hAnsi="Times New Roman" w:eastAsia="宋体" w:cs="Times New Roman"/>
                <w:kern w:val="2"/>
                <w:sz w:val="21"/>
                <w:szCs w:val="24"/>
                <w:lang w:val="en-US" w:eastAsia="zh-CN" w:bidi="ar-SA"/>
              </w:rPr>
            </w:pPr>
            <w:r>
              <w:t>O:34.01.02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李雅静</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2021-N1QMS-2218164</w:t>
            </w:r>
          </w:p>
          <w:p>
            <w:r>
              <w:t>2020-N1EMS-1218164</w:t>
            </w:r>
          </w:p>
          <w:p>
            <w:pPr>
              <w:rPr>
                <w:rFonts w:ascii="Times New Roman" w:hAnsi="Times New Roman" w:eastAsia="宋体" w:cs="Times New Roman"/>
                <w:kern w:val="2"/>
                <w:sz w:val="21"/>
                <w:szCs w:val="24"/>
                <w:lang w:val="en-US" w:eastAsia="zh-CN" w:bidi="ar-SA"/>
              </w:rPr>
            </w:pPr>
            <w:r>
              <w:t>2021-N1OHSMS-2218164</w:t>
            </w:r>
          </w:p>
        </w:tc>
        <w:tc>
          <w:tcPr>
            <w:tcW w:w="2179" w:type="dxa"/>
            <w:vAlign w:val="center"/>
          </w:tcPr>
          <w:p>
            <w:r>
              <w:t>E:34.01.02</w:t>
            </w:r>
          </w:p>
          <w:p>
            <w:pPr>
              <w:rPr>
                <w:rFonts w:ascii="Times New Roman" w:hAnsi="Times New Roman" w:eastAsia="宋体" w:cs="Times New Roman"/>
                <w:kern w:val="2"/>
                <w:sz w:val="21"/>
                <w:szCs w:val="24"/>
                <w:lang w:val="en-US" w:eastAsia="zh-CN" w:bidi="ar-SA"/>
              </w:rPr>
            </w:pPr>
            <w:r>
              <w:t>O:34.01.02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p>
        </w:tc>
        <w:tc>
          <w:tcPr>
            <w:tcW w:w="1089" w:type="dxa"/>
            <w:vAlign w:val="center"/>
          </w:tcPr>
          <w:p>
            <w:pPr>
              <w:rPr>
                <w:rFonts w:ascii="Times New Roman" w:hAnsi="Times New Roman" w:eastAsia="宋体" w:cs="Times New Roman"/>
                <w:kern w:val="2"/>
                <w:sz w:val="21"/>
                <w:szCs w:val="24"/>
                <w:lang w:val="en-US" w:eastAsia="zh-CN" w:bidi="ar-SA"/>
              </w:rPr>
            </w:pPr>
          </w:p>
        </w:tc>
        <w:tc>
          <w:tcPr>
            <w:tcW w:w="711" w:type="dxa"/>
            <w:vAlign w:val="center"/>
          </w:tcPr>
          <w:p>
            <w:pPr>
              <w:rPr>
                <w:rFonts w:ascii="Times New Roman" w:hAnsi="Times New Roman" w:eastAsia="宋体" w:cs="Times New Roman"/>
                <w:kern w:val="2"/>
                <w:sz w:val="21"/>
                <w:szCs w:val="24"/>
                <w:lang w:val="en-US" w:eastAsia="zh-CN" w:bidi="ar-SA"/>
              </w:rPr>
            </w:pPr>
          </w:p>
        </w:tc>
        <w:tc>
          <w:tcPr>
            <w:tcW w:w="3870" w:type="dxa"/>
            <w:vAlign w:val="center"/>
          </w:tcPr>
          <w:p>
            <w:pPr>
              <w:rPr>
                <w:rFonts w:ascii="Times New Roman" w:hAnsi="Times New Roman" w:eastAsia="宋体" w:cs="Times New Roman"/>
                <w:kern w:val="2"/>
                <w:sz w:val="21"/>
                <w:szCs w:val="24"/>
                <w:lang w:val="en-US" w:eastAsia="zh-CN" w:bidi="ar-SA"/>
              </w:rPr>
            </w:pP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p>
        </w:tc>
        <w:tc>
          <w:tcPr>
            <w:tcW w:w="1089" w:type="dxa"/>
            <w:vAlign w:val="center"/>
          </w:tcPr>
          <w:p>
            <w:pPr>
              <w:rPr>
                <w:rFonts w:ascii="Times New Roman" w:hAnsi="Times New Roman" w:eastAsia="宋体" w:cs="Times New Roman"/>
                <w:kern w:val="2"/>
                <w:sz w:val="21"/>
                <w:szCs w:val="24"/>
                <w:lang w:val="en-US" w:eastAsia="zh-CN" w:bidi="ar-SA"/>
              </w:rPr>
            </w:pPr>
          </w:p>
        </w:tc>
        <w:tc>
          <w:tcPr>
            <w:tcW w:w="711" w:type="dxa"/>
            <w:vAlign w:val="center"/>
          </w:tcPr>
          <w:p>
            <w:pPr>
              <w:rPr>
                <w:rFonts w:ascii="Times New Roman" w:hAnsi="Times New Roman" w:eastAsia="宋体" w:cs="Times New Roman"/>
                <w:kern w:val="2"/>
                <w:sz w:val="21"/>
                <w:szCs w:val="24"/>
                <w:lang w:val="en-US" w:eastAsia="zh-CN" w:bidi="ar-SA"/>
              </w:rPr>
            </w:pPr>
          </w:p>
        </w:tc>
        <w:tc>
          <w:tcPr>
            <w:tcW w:w="3870" w:type="dxa"/>
            <w:vAlign w:val="center"/>
          </w:tcPr>
          <w:p>
            <w:pPr>
              <w:rPr>
                <w:rFonts w:ascii="Times New Roman" w:hAnsi="Times New Roman" w:eastAsia="宋体" w:cs="Times New Roman"/>
                <w:kern w:val="2"/>
                <w:sz w:val="21"/>
                <w:szCs w:val="24"/>
                <w:lang w:val="en-US" w:eastAsia="zh-CN" w:bidi="ar-SA"/>
              </w:rPr>
            </w:pP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□可能影响本次审核结论可靠性的因素：影响本次审核结论可靠性的因素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8" w:name="Q勾选Add2"/>
            <w:r>
              <w:rPr>
                <w:rFonts w:hint="eastAsia"/>
              </w:rPr>
              <w:t>■</w:t>
            </w:r>
            <w:bookmarkEnd w:id="18"/>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9" w:name="E勾选Add2"/>
            <w:r>
              <w:rPr>
                <w:rFonts w:hint="eastAsia"/>
              </w:rPr>
              <w:t>■</w:t>
            </w:r>
            <w:bookmarkEnd w:id="1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0" w:name="S勾选Add2"/>
            <w:r>
              <w:rPr>
                <w:rFonts w:hint="eastAsia"/>
              </w:rPr>
              <w:t>■</w:t>
            </w:r>
            <w:bookmarkEnd w:id="2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color w:val="FF0000"/>
                <w:lang w:eastAsia="zh-CN"/>
              </w:rPr>
              <w:t>☑</w:t>
            </w:r>
            <w:r>
              <w:rPr>
                <w:rFonts w:hint="eastAsia"/>
                <w:color w:val="FF0000"/>
              </w:rPr>
              <w:t>推荐保持认证注册(</w:t>
            </w:r>
            <w:r>
              <w:rPr>
                <w:rFonts w:hint="eastAsia"/>
                <w:color w:val="FF0000"/>
                <w:lang w:eastAsia="zh-CN"/>
              </w:rPr>
              <w:t>☑</w:t>
            </w:r>
            <w:r>
              <w:rPr>
                <w:rFonts w:hint="eastAsia"/>
                <w:color w:val="FF0000"/>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00" w:themeColor="text1"/>
                <w:szCs w:val="21"/>
              </w:rPr>
            </w:pPr>
            <w:r>
              <w:rPr>
                <w:rFonts w:hint="eastAsia"/>
                <w:b/>
                <w:bCs/>
                <w:color w:val="000000" w:themeColor="text1"/>
              </w:rPr>
              <w:t>远程审核的有效性评价（适用时）</w:t>
            </w: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00" w:themeColor="text1"/>
                <w:szCs w:val="21"/>
              </w:rPr>
            </w:pP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pPr>
              <w:rPr>
                <w:color w:val="000000" w:themeColor="text1"/>
              </w:rPr>
            </w:pPr>
            <w:r>
              <w:rPr>
                <w:rFonts w:hint="eastAsia"/>
                <w:color w:val="000000" w:themeColor="text1"/>
              </w:rPr>
              <w:t>审核组长签字</w:t>
            </w:r>
          </w:p>
        </w:tc>
        <w:tc>
          <w:tcPr>
            <w:tcW w:w="2764" w:type="dxa"/>
            <w:tcMar>
              <w:left w:w="113" w:type="dxa"/>
            </w:tcMar>
          </w:tcPr>
          <w:p>
            <w:pPr>
              <w:rPr>
                <w:color w:val="000000" w:themeColor="text1"/>
              </w:rPr>
            </w:pPr>
            <w:r>
              <w:rPr>
                <w:color w:val="000000" w:themeColor="text1"/>
              </w:rP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rPr>
                <w:color w:val="000000" w:themeColor="text1"/>
              </w:rPr>
            </w:pPr>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2022.3.17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r>
                    <w:rPr>
                      <w:rFonts w:hint="eastAsia"/>
                      <w:lang w:eastAsia="zh-CN"/>
                    </w:rPr>
                    <w:t>☑</w:t>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组织应明确相关管理体系的范围；（详见第一条款审核范围）</w:t>
            </w:r>
          </w:p>
          <w:p>
            <w:pPr>
              <w:pStyle w:val="13"/>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 xml:space="preserve">最高管理者制定了文件化的管理体系方针： </w:t>
            </w:r>
          </w:p>
          <w:p>
            <w:pPr>
              <w:shd w:val="clear" w:color="auto" w:fill="C7DAF1" w:themeFill="text2" w:themeFillTint="32"/>
              <w:rPr>
                <w:rFonts w:hint="eastAsia"/>
                <w:b/>
                <w:bCs/>
              </w:rPr>
            </w:pPr>
            <w:r>
              <w:rPr>
                <w:rFonts w:hint="eastAsia"/>
                <w:b/>
                <w:bCs/>
              </w:rPr>
              <w:t>守法诚信追求质量，预防污染保护环境；</w:t>
            </w:r>
          </w:p>
          <w:p>
            <w:pPr>
              <w:shd w:val="clear" w:color="auto" w:fill="C7DAF1" w:themeFill="text2" w:themeFillTint="32"/>
              <w:rPr>
                <w:rFonts w:hint="eastAsia"/>
                <w:b/>
                <w:bCs/>
              </w:rPr>
            </w:pPr>
            <w:r>
              <w:rPr>
                <w:rFonts w:hint="eastAsia"/>
                <w:b/>
                <w:bCs/>
              </w:rPr>
              <w:t xml:space="preserve">          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imes New Roman" w:hAnsi="Times New Roman" w:eastAsia="宋体" w:cs="Times New Roman"/>
                      <w:lang w:val="en-US" w:eastAsia="zh-CN"/>
                    </w:rPr>
                    <w:t>政策风险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及时识别国家正常，管理策划及时更新</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资金风险</w:t>
                  </w:r>
                </w:p>
              </w:tc>
              <w:tc>
                <w:tcPr>
                  <w:tcW w:w="3965" w:type="dxa"/>
                </w:tcPr>
                <w:p>
                  <w:pPr>
                    <w:shd w:val="clear" w:color="auto" w:fill="C7DAF1" w:themeFill="text2" w:themeFillTint="32"/>
                    <w:rPr>
                      <w:rFonts w:hint="default" w:eastAsia="宋体"/>
                      <w:lang w:val="en-US" w:eastAsia="zh-CN"/>
                    </w:rPr>
                  </w:pPr>
                  <w:r>
                    <w:rPr>
                      <w:rFonts w:hint="eastAsia" w:ascii="Times New Roman" w:hAnsi="Times New Roman" w:eastAsia="宋体" w:cs="Times New Roman"/>
                      <w:lang w:val="en-US" w:eastAsia="zh-CN"/>
                    </w:rPr>
                    <w:t>产品及人工成本不断提高，控制成本</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技术咨询风险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人员的工程咨询意识提供</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default" w:eastAsia="宋体"/>
                      <w:lang w:val="en-US" w:eastAsia="zh-CN"/>
                    </w:rPr>
                  </w:pPr>
                  <w:r>
                    <w:rPr>
                      <w:rFonts w:hint="eastAsia" w:hAnsi="宋体" w:cs="宋体"/>
                      <w:kern w:val="0"/>
                      <w:lang w:val="en-US" w:eastAsia="zh-CN"/>
                    </w:rPr>
                    <w:t>销售产品</w:t>
                  </w:r>
                  <w:r>
                    <w:rPr>
                      <w:rFonts w:hint="eastAsia" w:hAnsi="宋体" w:cs="宋体"/>
                      <w:kern w:val="0"/>
                    </w:rPr>
                    <w:t>合格率</w:t>
                  </w:r>
                  <w:r>
                    <w:rPr>
                      <w:rFonts w:hint="eastAsia" w:hAnsi="宋体" w:cs="宋体"/>
                      <w:kern w:val="0"/>
                      <w:lang w:val="en-US" w:eastAsia="zh-CN"/>
                    </w:rPr>
                    <w:t>100%</w:t>
                  </w:r>
                </w:p>
              </w:tc>
              <w:tc>
                <w:tcPr>
                  <w:tcW w:w="3136" w:type="dxa"/>
                  <w:shd w:val="clear" w:color="auto" w:fill="auto"/>
                  <w:vAlign w:val="center"/>
                </w:tcPr>
                <w:p>
                  <w:pPr>
                    <w:shd w:val="clear" w:color="auto" w:fill="C7DAF1" w:themeFill="text2" w:themeFillTint="32"/>
                    <w:rPr>
                      <w:lang w:val="en-GB"/>
                    </w:rPr>
                  </w:pPr>
                  <w:r>
                    <w:rPr>
                      <w:rFonts w:hint="eastAsia"/>
                      <w:lang w:val="en-GB"/>
                    </w:rPr>
                    <w:t>合格率数量/总数量*100%；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业务部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顾客满意率9</w:t>
                  </w:r>
                  <w:r>
                    <w:rPr>
                      <w:rFonts w:hint="eastAsia" w:hAnsi="宋体" w:cs="宋体"/>
                      <w:color w:val="000000"/>
                      <w:kern w:val="0"/>
                      <w:lang w:val="en-US" w:eastAsia="zh-CN" w:bidi="ar"/>
                    </w:rPr>
                    <w:t>8</w:t>
                  </w:r>
                  <w:r>
                    <w:rPr>
                      <w:rFonts w:hint="eastAsia" w:hAnsi="宋体" w:cs="宋体"/>
                      <w:color w:val="000000"/>
                      <w:kern w:val="0"/>
                      <w:lang w:bidi="ar"/>
                    </w:rPr>
                    <w:t>%以上</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满意的顾客数量/顾客的总数量*100%；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业务部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left"/>
                    <w:rPr>
                      <w:rFonts w:hAnsi="宋体" w:cs="宋体"/>
                      <w:kern w:val="0"/>
                    </w:rPr>
                  </w:pPr>
                  <w:r>
                    <w:rPr>
                      <w:rFonts w:hint="eastAsia" w:hAnsi="宋体" w:cs="宋体"/>
                      <w:kern w:val="0"/>
                      <w:lang w:val="en-US" w:eastAsia="zh-CN"/>
                    </w:rPr>
                    <w:t>合同评审</w:t>
                  </w:r>
                  <w:r>
                    <w:rPr>
                      <w:rFonts w:hint="eastAsia" w:hAnsi="宋体" w:cs="宋体"/>
                      <w:kern w:val="0"/>
                    </w:rPr>
                    <w:t>率100%</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合同评审完成数量/总数量</w:t>
                  </w:r>
                  <w:r>
                    <w:rPr>
                      <w:rFonts w:hint="eastAsia" w:ascii="宋体" w:hAnsi="宋体"/>
                    </w:rPr>
                    <w:t>*100%；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业务部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产品交付及时率98%；</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交付产品合格数量/总数量</w:t>
                  </w:r>
                  <w:r>
                    <w:rPr>
                      <w:rFonts w:hint="eastAsia" w:ascii="宋体" w:hAnsi="宋体"/>
                    </w:rPr>
                    <w:t>*100%；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技术部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 xml:space="preserve"> 5</w:t>
            </w:r>
            <w:r>
              <w:rPr>
                <w:rFonts w:hint="eastAsia"/>
                <w:u w:val="single"/>
                <w:lang w:val="en-US" w:eastAsia="zh-CN"/>
              </w:rPr>
              <w:t>00</w:t>
            </w:r>
            <w:r>
              <w:rPr>
                <w:rFonts w:hint="eastAsia"/>
              </w:rPr>
              <w:t>平方米；生产车间</w:t>
            </w:r>
            <w:r>
              <w:rPr>
                <w:rFonts w:hint="eastAsia"/>
                <w:u w:val="single"/>
              </w:rPr>
              <w:t xml:space="preserve"> </w:t>
            </w:r>
            <w:r>
              <w:rPr>
                <w:rFonts w:hint="eastAsia"/>
                <w:u w:val="single"/>
                <w:lang w:val="en-US" w:eastAsia="zh-CN"/>
              </w:rPr>
              <w:t>0</w:t>
            </w:r>
            <w:r>
              <w:rPr>
                <w:rFonts w:hint="eastAsia"/>
              </w:rPr>
              <w:t>个；库房</w:t>
            </w:r>
            <w:r>
              <w:rPr>
                <w:rFonts w:hint="eastAsia"/>
                <w:u w:val="single"/>
              </w:rPr>
              <w:t xml:space="preserve"> </w:t>
            </w:r>
            <w:r>
              <w:rPr>
                <w:rFonts w:hint="eastAsia"/>
                <w:u w:val="single"/>
                <w:lang w:val="en-US" w:eastAsia="zh-CN"/>
              </w:rPr>
              <w:t>0</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lang w:val="en-US" w:eastAsia="zh-CN"/>
              </w:rPr>
              <w:t>电脑、电话、打印机</w:t>
            </w:r>
            <w:r>
              <w:rPr>
                <w:rFonts w:hint="eastAsia"/>
                <w:u w:val="single"/>
              </w:rPr>
              <w:t>（列举2~4种）</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default" w:ascii="Arial" w:hAnsi="Arial" w:cs="Arial"/>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lang w:val="en-US" w:eastAsia="zh-CN"/>
              </w:rPr>
              <w:t>销售经营</w:t>
            </w:r>
            <w:r>
              <w:rPr>
                <w:rFonts w:hint="eastAsia"/>
              </w:rPr>
              <w:t xml:space="preserve">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lang w:val="en-US" w:eastAsia="zh-CN"/>
              </w:rPr>
              <w:t>无</w:t>
            </w:r>
          </w:p>
          <w:p>
            <w:pPr>
              <w:shd w:val="clear" w:color="auto" w:fill="C7DAF1" w:themeFill="text2" w:themeFillTint="32"/>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9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r>
                    <w:rPr>
                      <w:rFonts w:hint="eastAsia"/>
                    </w:rPr>
                    <w:t>产品/服务名称</w:t>
                  </w:r>
                </w:p>
              </w:tc>
              <w:tc>
                <w:tcPr>
                  <w:tcW w:w="29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rPr>
                      <w:rFonts w:hint="default"/>
                      <w:lang w:val="en-US" w:eastAsia="zh-CN"/>
                    </w:rPr>
                  </w:pPr>
                  <w:r>
                    <w:rPr>
                      <w:rFonts w:ascii="宋体" w:hAnsi="宋体" w:cs="宋体"/>
                      <w:color w:val="000000"/>
                      <w:kern w:val="0"/>
                      <w:szCs w:val="21"/>
                    </w:rPr>
                    <w:t>电力工程技术咨询；资质范围内的电力工程（变电工程、送电工程）设计</w:t>
                  </w:r>
                </w:p>
              </w:tc>
              <w:tc>
                <w:tcPr>
                  <w:tcW w:w="2978" w:type="dxa"/>
                </w:tcPr>
                <w:p>
                  <w:pPr>
                    <w:rPr>
                      <w:rFonts w:hint="eastAsia"/>
                      <w:bCs/>
                      <w:lang w:val="en-US" w:eastAsia="zh-CN"/>
                    </w:rPr>
                  </w:pPr>
                  <w:r>
                    <w:rPr>
                      <w:rFonts w:ascii="宋体" w:hAnsi="宋体" w:cs="宋体"/>
                      <w:color w:val="000000"/>
                      <w:kern w:val="0"/>
                      <w:szCs w:val="21"/>
                    </w:rPr>
                    <w:t>技</w:t>
                  </w:r>
                  <w:r>
                    <w:rPr>
                      <w:rFonts w:hint="eastAsia"/>
                      <w:bCs/>
                    </w:rPr>
                    <w:t>电力工程技术咨询</w:t>
                  </w:r>
                  <w:r>
                    <w:rPr>
                      <w:rFonts w:hint="eastAsia"/>
                      <w:bCs/>
                      <w:lang w:val="en-US" w:eastAsia="zh-CN"/>
                    </w:rPr>
                    <w:t>过程、电力工程设计过程</w:t>
                  </w:r>
                </w:p>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人员能力、设备情况、服务标准、服务流程、人员培训等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r>
              <w:rPr>
                <w:rFonts w:hint="eastAsia"/>
              </w:rPr>
              <w:t>需要确认的过程：</w:t>
            </w:r>
            <w:r>
              <w:rPr>
                <w:rFonts w:hint="eastAsia"/>
                <w:u w:val="single"/>
              </w:rPr>
              <w:t xml:space="preserve">     </w:t>
            </w:r>
            <w:r>
              <w:rPr>
                <w:rFonts w:hint="eastAsia"/>
              </w:rPr>
              <w:t xml:space="preserve">  </w:t>
            </w:r>
            <w:r>
              <w:rPr>
                <w:rFonts w:hint="eastAsia"/>
                <w:bCs/>
              </w:rPr>
              <w:t>电力工程技术咨询</w:t>
            </w:r>
            <w:r>
              <w:rPr>
                <w:rFonts w:hint="eastAsia"/>
                <w:bCs/>
                <w:lang w:val="en-US" w:eastAsia="zh-CN"/>
              </w:rPr>
              <w:t>过程、电力工程设计过程</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2021年11月10日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2021年11月2</w:t>
            </w:r>
            <w:r>
              <w:rPr>
                <w:rFonts w:hint="eastAsia"/>
                <w:u w:val="single"/>
                <w:lang w:val="en-US" w:eastAsia="zh-CN"/>
              </w:rPr>
              <w:t>0</w:t>
            </w:r>
            <w:r>
              <w:rPr>
                <w:rFonts w:hint="eastAsia"/>
                <w:u w:val="single"/>
              </w:rPr>
              <w:t xml:space="preserve">日 </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shd w:val="clear" w:color="auto" w:fill="EBF1DE" w:themeFill="accent3" w:themeFillTint="32"/>
              <w:rPr>
                <w:rFonts w:hint="eastAsia"/>
                <w:b/>
                <w:bCs/>
              </w:rPr>
            </w:pPr>
            <w:r>
              <w:rPr>
                <w:rFonts w:hint="eastAsia"/>
                <w:b/>
                <w:bCs/>
              </w:rPr>
              <w:t xml:space="preserve"> 守法诚信追求质量，预防污染保护环境；</w:t>
            </w:r>
          </w:p>
          <w:p>
            <w:pPr>
              <w:shd w:val="clear" w:color="auto" w:fill="EBF1DE" w:themeFill="accent3" w:themeFillTint="32"/>
              <w:rPr>
                <w:rFonts w:hint="eastAsia"/>
                <w:b/>
                <w:bCs/>
              </w:rPr>
            </w:pPr>
            <w:r>
              <w:rPr>
                <w:rFonts w:hint="eastAsia"/>
                <w:b/>
                <w:bCs/>
              </w:rPr>
              <w:t xml:space="preserve">  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 xml:space="preserve"> 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固体废气物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分类收集，100处理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hAnsi="宋体" w:cs="宋体"/>
                      <w:kern w:val="0"/>
                    </w:rPr>
                    <w:t>环境污染事故发生率为零</w:t>
                  </w:r>
                </w:p>
              </w:tc>
              <w:tc>
                <w:tcPr>
                  <w:tcW w:w="3965" w:type="dxa"/>
                </w:tcPr>
                <w:p>
                  <w:pPr>
                    <w:shd w:val="clear" w:color="auto" w:fill="EBF1DE" w:themeFill="accent3" w:themeFillTint="32"/>
                    <w:rPr>
                      <w:rFonts w:hint="default" w:eastAsia="宋体"/>
                      <w:lang w:val="en-US" w:eastAsia="zh-CN"/>
                    </w:rPr>
                  </w:pPr>
                  <w:r>
                    <w:rPr>
                      <w:rFonts w:hint="eastAsia"/>
                      <w:lang w:val="en-US" w:eastAsia="zh-CN"/>
                    </w:rPr>
                    <w:t>无环境污染事故发生</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lang w:eastAsia="zh-CN"/>
              </w:rPr>
              <w:t>□</w:t>
            </w:r>
            <w:r>
              <w:rPr>
                <w:rFonts w:hint="eastAsia"/>
              </w:rPr>
              <w:t>安全生产许可证编号：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hAnsi="宋体" w:cs="宋体"/>
                      <w:color w:val="000000"/>
                      <w:kern w:val="0"/>
                      <w:lang w:bidi="ar"/>
                    </w:rPr>
                    <w:t>固体废弃物100%分类处理</w:t>
                  </w:r>
                </w:p>
              </w:tc>
              <w:tc>
                <w:tcPr>
                  <w:tcW w:w="3136" w:type="dxa"/>
                  <w:shd w:val="clear" w:color="auto" w:fill="auto"/>
                  <w:vAlign w:val="center"/>
                </w:tcPr>
                <w:p>
                  <w:pPr>
                    <w:shd w:val="clear" w:color="auto" w:fill="EBF1DE" w:themeFill="accent3" w:themeFillTint="32"/>
                    <w:rPr>
                      <w:lang w:val="en-GB"/>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pPr>
                  <w:r>
                    <w:rPr>
                      <w:rFonts w:hint="eastAsia" w:hAnsi="宋体" w:cs="宋体"/>
                      <w:color w:val="000000"/>
                      <w:kern w:val="0"/>
                      <w:lang w:bidi="ar"/>
                    </w:rPr>
                    <w:t>环境污染事故发生率为零</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固废分类收集处理、环境卫生保持干净、定期清扫不污染环境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500</w:t>
            </w:r>
            <w:r>
              <w:rPr>
                <w:rFonts w:hint="eastAsia"/>
              </w:rPr>
              <w:t>平方米；生产车间</w:t>
            </w:r>
            <w:r>
              <w:rPr>
                <w:rFonts w:hint="eastAsia"/>
                <w:u w:val="single"/>
              </w:rPr>
              <w:t xml:space="preserve"> </w:t>
            </w:r>
            <w:r>
              <w:rPr>
                <w:rFonts w:hint="eastAsia"/>
                <w:u w:val="single"/>
                <w:lang w:val="en-US" w:eastAsia="zh-CN"/>
              </w:rPr>
              <w:t>0</w:t>
            </w:r>
            <w:r>
              <w:rPr>
                <w:rFonts w:hint="eastAsia"/>
              </w:rPr>
              <w:t>个；库房</w:t>
            </w:r>
            <w:r>
              <w:rPr>
                <w:rFonts w:hint="eastAsia"/>
                <w:u w:val="single"/>
                <w:lang w:val="en-US" w:eastAsia="zh-CN"/>
              </w:rPr>
              <w:t>0</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u w:val="single"/>
              </w:rPr>
            </w:pPr>
            <w:r>
              <w:rPr>
                <w:rFonts w:hint="eastAsia"/>
              </w:rPr>
              <w:t xml:space="preserve">主要生产设备有： </w:t>
            </w:r>
            <w:r>
              <w:rPr>
                <w:rFonts w:hint="eastAsia"/>
                <w:lang w:val="en-US" w:eastAsia="zh-CN"/>
              </w:rPr>
              <w:t>电脑、电话、打印机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 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节水、节电</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合理利用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生活垃圾定期交物业回收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配置灭火器，应急演练</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lang w:val="en-US" w:eastAsia="zh-CN"/>
              </w:rPr>
              <w:t>无</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default" w:eastAsia="宋体"/>
                <w:lang w:val="en-US" w:eastAsia="zh-CN"/>
              </w:rPr>
            </w:pPr>
            <w:r>
              <w:rPr>
                <w:rFonts w:hint="eastAsia"/>
              </w:rPr>
              <w:t>采用的标识方式：</w:t>
            </w:r>
            <w:r>
              <w:rPr>
                <w:rFonts w:hint="eastAsia"/>
                <w:lang w:val="en-US" w:eastAsia="zh-CN"/>
              </w:rPr>
              <w:t>无危化品</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2021年8月10号</w:t>
            </w:r>
            <w:r>
              <w:rPr>
                <w:rFonts w:hint="eastAsia"/>
                <w:u w:val="single"/>
                <w:lang w:val="en-US" w:eastAsia="zh-CN"/>
              </w:rPr>
              <w:t xml:space="preserve"> </w:t>
            </w:r>
            <w:r>
              <w:rPr>
                <w:rFonts w:hint="eastAsia"/>
              </w:rPr>
              <w:t>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2021年11月10日</w:t>
            </w:r>
            <w:r>
              <w:rPr>
                <w:rFonts w:hint="eastAsia"/>
              </w:rPr>
              <w:t>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2021年11月2</w:t>
            </w:r>
            <w:r>
              <w:rPr>
                <w:rFonts w:hint="eastAsia"/>
                <w:u w:val="single"/>
                <w:lang w:val="en-US" w:eastAsia="zh-CN"/>
              </w:rPr>
              <w:t>0</w:t>
            </w:r>
            <w:r>
              <w:rPr>
                <w:rFonts w:hint="eastAsia"/>
                <w:u w:val="single"/>
              </w:rPr>
              <w:t xml:space="preserve">日 </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w:t>
            </w:r>
            <w:r>
              <w:rPr>
                <w:rFonts w:hint="eastAsia"/>
              </w:rPr>
              <w:t>S</w:t>
            </w:r>
            <w:r>
              <w:rPr>
                <w:rFonts w:hint="eastAsia"/>
                <w:lang w:val="en-US" w:eastAsia="zh-CN"/>
              </w:rPr>
              <w:t>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w:t>
                  </w:r>
                  <w:r>
                    <w:rPr>
                      <w:rFonts w:hint="eastAsia"/>
                      <w:lang w:eastAsia="zh-CN"/>
                    </w:rPr>
                    <w:t>☑</w:t>
                  </w:r>
                  <w:r>
                    <w:rPr>
                      <w:rFonts w:hint="eastAsia"/>
                    </w:rPr>
                    <w:t xml:space="preserve">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280" w:lineRule="exact"/>
              <w:ind w:firstLine="420" w:firstLineChars="200"/>
              <w:rPr>
                <w:rFonts w:hint="eastAsia"/>
              </w:rPr>
            </w:pPr>
            <w:r>
              <w:rPr>
                <w:rFonts w:hint="eastAsia"/>
              </w:rPr>
              <w:t>最高管理者制定了文件化的职业健康安全管理体系方针：</w:t>
            </w:r>
          </w:p>
          <w:p>
            <w:pPr>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守法诚信追求质量，预防污染保护环境；</w:t>
            </w:r>
          </w:p>
          <w:p>
            <w:pPr>
              <w:rPr>
                <w:rFonts w:hint="eastAsia" w:ascii="宋体" w:hAnsi="宋体" w:cs="宋体"/>
                <w:szCs w:val="21"/>
              </w:rPr>
            </w:pPr>
            <w:r>
              <w:rPr>
                <w:rFonts w:hint="eastAsia" w:ascii="宋体" w:hAnsi="宋体" w:cs="宋体"/>
                <w:szCs w:val="21"/>
              </w:rPr>
              <w:t xml:space="preserve">          关爱员工健康安全，持续改进追求卓越。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hAnsi="宋体" w:cs="Arial"/>
                <w:color w:val="auto"/>
                <w:kern w:val="0"/>
              </w:rPr>
              <w:t>谢景海</w:t>
            </w:r>
            <w:r>
              <w:rPr>
                <w:rFonts w:hint="eastAsia" w:ascii="华文中宋" w:hAnsi="华文中宋" w:eastAsia="华文中宋" w:cs="宋体"/>
                <w:color w:val="auto"/>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配置灭火器、应急演练 日常检查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hAnsi="宋体" w:cs="宋体"/>
                      <w:kern w:val="0"/>
                    </w:rPr>
                    <w:t>各类重伤以上事故发生率为零</w:t>
                  </w:r>
                </w:p>
              </w:tc>
              <w:tc>
                <w:tcPr>
                  <w:tcW w:w="3965" w:type="dxa"/>
                </w:tcPr>
                <w:p>
                  <w:pPr>
                    <w:rPr>
                      <w:rFonts w:hint="default" w:eastAsia="宋体"/>
                      <w:lang w:val="en-US" w:eastAsia="zh-CN"/>
                    </w:rPr>
                  </w:pPr>
                  <w:r>
                    <w:rPr>
                      <w:rFonts w:hint="eastAsia"/>
                      <w:lang w:val="en-US" w:eastAsia="zh-CN"/>
                    </w:rPr>
                    <w:t>定期检查、安全培训、应急演练</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p>
              </w:tc>
              <w:tc>
                <w:tcPr>
                  <w:tcW w:w="3965" w:type="dxa"/>
                </w:tcPr>
                <w:p>
                  <w:pPr>
                    <w:rPr>
                      <w:rFonts w:hint="default" w:eastAsia="宋体"/>
                      <w:lang w:val="en-US" w:eastAsia="zh-CN"/>
                    </w:rPr>
                  </w:pPr>
                </w:p>
              </w:tc>
              <w:tc>
                <w:tcPr>
                  <w:tcW w:w="1717"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val="en-US" w:eastAsia="zh-CN"/>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r>
              <w:rPr>
                <w:rFonts w:hint="eastAsia"/>
                <w:lang w:val="en-US" w:eastAsia="zh-CN"/>
              </w:rPr>
              <w:t>不适用</w:t>
            </w:r>
            <w:r>
              <w:rPr>
                <w:rFonts w:hint="eastAsia"/>
              </w:rPr>
              <w:t xml:space="preserve">                   </w:t>
            </w:r>
          </w:p>
          <w:p>
            <w:r>
              <w:rPr>
                <w:rFonts w:hint="eastAsia"/>
              </w:rPr>
              <w:t xml:space="preserve">□安全预评估报告日期：  </w:t>
            </w:r>
            <w:r>
              <w:rPr>
                <w:rFonts w:hint="eastAsia"/>
                <w:lang w:val="en-US" w:eastAsia="zh-CN"/>
              </w:rPr>
              <w:t>不适用</w:t>
            </w:r>
            <w:r>
              <w:rPr>
                <w:rFonts w:hint="eastAsia"/>
              </w:rPr>
              <w:t xml:space="preserve"> </w:t>
            </w:r>
          </w:p>
          <w:p>
            <w:r>
              <w:rPr>
                <w:rFonts w:hint="eastAsia"/>
              </w:rPr>
              <w:t xml:space="preserve">□安全现状评估报告表日期： </w:t>
            </w:r>
            <w:r>
              <w:rPr>
                <w:rFonts w:hint="eastAsia"/>
                <w:lang w:val="en-US" w:eastAsia="zh-CN"/>
              </w:rPr>
              <w:t>不适用</w:t>
            </w:r>
            <w:r>
              <w:rPr>
                <w:rFonts w:hint="eastAsia"/>
              </w:rPr>
              <w:t xml:space="preserve"> </w:t>
            </w:r>
          </w:p>
          <w:p>
            <w:r>
              <w:rPr>
                <w:rFonts w:hint="eastAsia"/>
              </w:rPr>
              <w:t xml:space="preserve">□职业病体检报告书日期： </w:t>
            </w:r>
            <w:r>
              <w:rPr>
                <w:rFonts w:hint="eastAsia"/>
                <w:lang w:val="en-US" w:eastAsia="zh-CN"/>
              </w:rPr>
              <w:t>不适用</w:t>
            </w:r>
            <w:r>
              <w:rPr>
                <w:rFonts w:hint="eastAsia"/>
              </w:rPr>
              <w:t xml:space="preserve">   </w:t>
            </w:r>
          </w:p>
          <w:p>
            <w:r>
              <w:rPr>
                <w:rFonts w:hint="eastAsia"/>
              </w:rPr>
              <w:t>□消防验收/备案证明日期：</w:t>
            </w:r>
            <w:r>
              <w:rPr>
                <w:rFonts w:hint="eastAsia"/>
                <w:lang w:val="en-US" w:eastAsia="zh-CN"/>
              </w:rPr>
              <w:t>不适用</w:t>
            </w:r>
            <w:r>
              <w:rPr>
                <w:rFonts w:hint="eastAsia"/>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color w:val="000000"/>
                      <w:kern w:val="0"/>
                      <w:lang w:bidi="ar"/>
                    </w:rPr>
                    <w:t>各类重伤以上事故发生率为零；</w:t>
                  </w:r>
                </w:p>
              </w:tc>
              <w:tc>
                <w:tcPr>
                  <w:tcW w:w="3136" w:type="dxa"/>
                  <w:shd w:val="clear" w:color="auto" w:fill="auto"/>
                  <w:vAlign w:val="center"/>
                </w:tcPr>
                <w:p>
                  <w:pPr>
                    <w:rPr>
                      <w:rFonts w:hint="default" w:eastAsia="宋体"/>
                      <w:lang w:val="en-US" w:eastAsia="zh-CN"/>
                    </w:rPr>
                  </w:pPr>
                  <w:r>
                    <w:rPr>
                      <w:rFonts w:hint="eastAsia"/>
                      <w:lang w:val="en-US" w:eastAsia="zh-CN"/>
                    </w:rPr>
                    <w:t>安全培训、定期检验</w:t>
                  </w:r>
                </w:p>
              </w:tc>
              <w:tc>
                <w:tcPr>
                  <w:tcW w:w="1350" w:type="dxa"/>
                  <w:shd w:val="clear" w:color="auto" w:fill="auto"/>
                  <w:vAlign w:val="center"/>
                </w:tcPr>
                <w:p>
                  <w:pPr>
                    <w:rPr>
                      <w:rFonts w:hint="default"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火灾事故发生率为零。</w:t>
                  </w:r>
                </w:p>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500</w:t>
            </w:r>
            <w:r>
              <w:rPr>
                <w:rFonts w:hint="eastAsia"/>
              </w:rPr>
              <w:t>平方米；生产车间</w:t>
            </w:r>
            <w:r>
              <w:rPr>
                <w:rFonts w:hint="eastAsia"/>
                <w:u w:val="single"/>
              </w:rPr>
              <w:t xml:space="preserve"> </w:t>
            </w:r>
            <w:r>
              <w:rPr>
                <w:rFonts w:hint="eastAsia"/>
                <w:u w:val="single"/>
                <w:lang w:val="en-US" w:eastAsia="zh-CN"/>
              </w:rPr>
              <w:t>0</w:t>
            </w:r>
            <w:r>
              <w:rPr>
                <w:rFonts w:hint="eastAsia"/>
              </w:rPr>
              <w:t>个；库房</w:t>
            </w:r>
            <w:r>
              <w:rPr>
                <w:rFonts w:hint="eastAsia"/>
                <w:u w:val="single"/>
                <w:lang w:val="en-US" w:eastAsia="zh-CN"/>
              </w:rPr>
              <w:t>0</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rFonts w:hint="eastAsia" w:ascii="Arial" w:hAnsi="Arial" w:cs="Arial"/>
                <w:color w:val="FF0000"/>
                <w:kern w:val="0"/>
                <w:szCs w:val="21"/>
                <w:lang w:val="en-US" w:eastAsia="zh-CN"/>
              </w:rPr>
              <w:t>电脑、电话、打印机</w:t>
            </w:r>
            <w:r>
              <w:rPr>
                <w:rFonts w:hint="eastAsia"/>
                <w:u w:val="single"/>
              </w:rPr>
              <w:t>（列举2~4种）</w:t>
            </w:r>
          </w:p>
          <w:p>
            <w:r>
              <w:rPr>
                <w:rFonts w:hint="eastAsia"/>
              </w:rPr>
              <w:t>主要安全装置有：</w:t>
            </w:r>
          </w:p>
          <w:p>
            <w:r>
              <w:rPr>
                <w:rFonts w:hint="eastAsia"/>
              </w:rPr>
              <w:t xml:space="preserve">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 xml:space="preserve">特种设备： </w:t>
            </w:r>
            <w:r>
              <w:rPr>
                <w:rFonts w:hint="eastAsia" w:ascii="Wingdings" w:hAnsi="Wingdings"/>
              </w:rPr>
              <w:t>¨</w:t>
            </w:r>
            <w:r>
              <w:rPr>
                <w:rFonts w:hint="eastAsia"/>
              </w:rPr>
              <w:t xml:space="preserve">不适用 </w:t>
            </w:r>
          </w:p>
          <w:p>
            <w:pPr>
              <w:ind w:firstLine="1050" w:firstLineChars="500"/>
              <w:rPr>
                <w:rFonts w:hint="eastAsia" w:eastAsia="宋体"/>
                <w:lang w:val="en-US" w:eastAsia="zh-CN"/>
              </w:rPr>
            </w:pPr>
            <w:r>
              <w:rPr>
                <w:rFonts w:hint="eastAsia"/>
              </w:rPr>
              <w:t>辅助场所：</w:t>
            </w:r>
            <w:r>
              <w:rPr>
                <w:rFonts w:hint="eastAsia"/>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计量器具的</w:t>
            </w:r>
            <w:r>
              <w:t>测量溯源</w:t>
            </w:r>
            <w:r>
              <w:rPr>
                <w:rFonts w:hint="eastAsia"/>
              </w:rPr>
              <w:t xml:space="preserve">方法：  </w:t>
            </w:r>
            <w:r>
              <w:rPr>
                <w:rFonts w:hint="eastAsia"/>
                <w:lang w:val="en-US" w:eastAsia="zh-CN"/>
              </w:rPr>
              <w:t>无</w:t>
            </w:r>
          </w:p>
          <w:p>
            <w:r>
              <w:rPr>
                <w:rFonts w:hint="eastAsia"/>
              </w:rPr>
              <w:t>职业健康安全监测的计量器具有：</w:t>
            </w:r>
          </w:p>
          <w:p>
            <w:r>
              <w:rPr>
                <w:rFonts w:hint="eastAsia" w:ascii="Wingdings" w:hAnsi="Wingdings"/>
              </w:rPr>
              <w:t>¨</w:t>
            </w:r>
            <w:r>
              <w:rPr>
                <w:rFonts w:hint="eastAsia"/>
              </w:rPr>
              <w:t>不适用</w:t>
            </w:r>
          </w:p>
          <w:p>
            <w:pPr>
              <w:rPr>
                <w:rFonts w:hint="eastAsia" w:eastAsia="宋体"/>
                <w:u w:val="single"/>
                <w:lang w:val="en-US" w:eastAsia="zh-CN"/>
              </w:rPr>
            </w:pPr>
            <w:r>
              <w:rPr>
                <w:rFonts w:hint="eastAsia"/>
              </w:rPr>
              <w:t>计量器具管理：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val="en-US" w:eastAsia="zh-CN"/>
              </w:rPr>
              <w:t>无</w:t>
            </w:r>
            <w:r>
              <w:rPr>
                <w:rFonts w:hint="eastAsia"/>
              </w:rPr>
              <w:t xml:space="preserve">  </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default"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p>
          <w:p>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变更控制：</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r>
              <w:rPr>
                <w:rFonts w:hint="eastAsia"/>
              </w:rPr>
              <w:t>审核周期内发生过紧急情况：</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2021年8月10号</w:t>
            </w:r>
            <w:r>
              <w:rPr>
                <w:rFonts w:hint="eastAsia"/>
              </w:rPr>
              <w:t>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 xml:space="preserve">2021年11月10日 </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2021年11月2</w:t>
            </w:r>
            <w:r>
              <w:rPr>
                <w:rFonts w:hint="eastAsia"/>
                <w:u w:val="single"/>
                <w:lang w:val="en-US" w:eastAsia="zh-CN"/>
              </w:rPr>
              <w:t>0</w:t>
            </w:r>
            <w:bookmarkStart w:id="21" w:name="_GoBack"/>
            <w:bookmarkEnd w:id="21"/>
            <w:r>
              <w:rPr>
                <w:rFonts w:hint="eastAsia"/>
                <w:u w:val="single"/>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0B4004"/>
    <w:rsid w:val="085464E3"/>
    <w:rsid w:val="0AD12BB8"/>
    <w:rsid w:val="0C955299"/>
    <w:rsid w:val="0DAC3311"/>
    <w:rsid w:val="15127974"/>
    <w:rsid w:val="200107B3"/>
    <w:rsid w:val="20212AAB"/>
    <w:rsid w:val="26861592"/>
    <w:rsid w:val="2BE13F4C"/>
    <w:rsid w:val="2D794D9C"/>
    <w:rsid w:val="320B6D78"/>
    <w:rsid w:val="33413278"/>
    <w:rsid w:val="361A7120"/>
    <w:rsid w:val="375841FD"/>
    <w:rsid w:val="39302B9F"/>
    <w:rsid w:val="3B0B4456"/>
    <w:rsid w:val="3F8E5DE5"/>
    <w:rsid w:val="41007D53"/>
    <w:rsid w:val="464863E3"/>
    <w:rsid w:val="4A726890"/>
    <w:rsid w:val="4EA95DEB"/>
    <w:rsid w:val="51925152"/>
    <w:rsid w:val="559F4C3E"/>
    <w:rsid w:val="5BE42D97"/>
    <w:rsid w:val="601301DD"/>
    <w:rsid w:val="65674497"/>
    <w:rsid w:val="701F2AB7"/>
    <w:rsid w:val="791F78AA"/>
    <w:rsid w:val="7FD04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440" w:lineRule="atLeast"/>
    </w:pPr>
    <w:rPr>
      <w:snapToGrid w:val="0"/>
      <w:kern w:val="0"/>
      <w:sz w:val="24"/>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字符"/>
    <w:basedOn w:val="11"/>
    <w:link w:val="6"/>
    <w:qFormat/>
    <w:uiPriority w:val="99"/>
    <w:rPr>
      <w:rFonts w:ascii="Times New Roman" w:hAnsi="Times New Roman" w:eastAsia="宋体" w:cs="Times New Roman"/>
      <w:sz w:val="18"/>
      <w:szCs w:val="18"/>
    </w:rPr>
  </w:style>
  <w:style w:type="character" w:customStyle="1" w:styleId="16">
    <w:name w:val="页脚 字符"/>
    <w:basedOn w:val="11"/>
    <w:link w:val="5"/>
    <w:qFormat/>
    <w:uiPriority w:val="99"/>
    <w:rPr>
      <w:rFonts w:ascii="Times New Roman" w:hAnsi="Times New Roman" w:eastAsia="宋体" w:cs="Times New Roman"/>
      <w:sz w:val="18"/>
      <w:szCs w:val="18"/>
    </w:rPr>
  </w:style>
  <w:style w:type="character" w:customStyle="1" w:styleId="17">
    <w:name w:val="批注框文本 字符"/>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19059</Words>
  <Characters>20104</Characters>
  <Lines>179</Lines>
  <Paragraphs>50</Paragraphs>
  <TotalTime>0</TotalTime>
  <ScaleCrop>false</ScaleCrop>
  <LinksUpToDate>false</LinksUpToDate>
  <CharactersWithSpaces>23024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2022-03-16T06:01:08Z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