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751"/>
        <w:gridCol w:w="12120"/>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1" w:type="dxa"/>
            <w:vMerge w:val="restart"/>
            <w:vAlign w:val="center"/>
          </w:tcPr>
          <w:p>
            <w:pPr>
              <w:adjustRightInd w:val="0"/>
              <w:snapToGrid w:val="0"/>
              <w:spacing w:line="300" w:lineRule="exact"/>
              <w:jc w:val="center"/>
              <w:rPr>
                <w:rFonts w:ascii="楷体" w:hAnsi="楷体" w:eastAsia="楷体" w:cs="宋体"/>
                <w:sz w:val="24"/>
                <w:szCs w:val="24"/>
              </w:rPr>
            </w:pPr>
            <w:r>
              <w:rPr>
                <w:rFonts w:hint="eastAsia" w:ascii="楷体" w:hAnsi="楷体" w:eastAsia="楷体" w:cs="宋体"/>
                <w:sz w:val="24"/>
                <w:szCs w:val="24"/>
              </w:rPr>
              <w:t>过程与活动、</w:t>
            </w:r>
          </w:p>
          <w:p>
            <w:pPr>
              <w:adjustRightInd w:val="0"/>
              <w:snapToGrid w:val="0"/>
              <w:spacing w:line="300" w:lineRule="exact"/>
              <w:jc w:val="center"/>
              <w:rPr>
                <w:rFonts w:ascii="楷体" w:hAnsi="楷体" w:eastAsia="楷体" w:cs="宋体"/>
                <w:sz w:val="24"/>
                <w:szCs w:val="24"/>
              </w:rPr>
            </w:pPr>
            <w:r>
              <w:rPr>
                <w:rFonts w:hint="eastAsia" w:ascii="楷体" w:hAnsi="楷体" w:eastAsia="楷体" w:cs="宋体"/>
                <w:sz w:val="24"/>
                <w:szCs w:val="24"/>
              </w:rPr>
              <w:t>抽样计划</w:t>
            </w:r>
          </w:p>
        </w:tc>
        <w:tc>
          <w:tcPr>
            <w:tcW w:w="751" w:type="dxa"/>
            <w:vMerge w:val="restart"/>
            <w:vAlign w:val="center"/>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涉及</w:t>
            </w:r>
          </w:p>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条款</w:t>
            </w:r>
          </w:p>
        </w:tc>
        <w:tc>
          <w:tcPr>
            <w:tcW w:w="12120" w:type="dxa"/>
            <w:vAlign w:val="center"/>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rPr>
              <w:t>受审核部门：领导层         主管领导：</w:t>
            </w:r>
            <w:r>
              <w:rPr>
                <w:rFonts w:hint="eastAsia" w:ascii="楷体" w:hAnsi="楷体" w:eastAsia="楷体" w:cs="宋体"/>
                <w:sz w:val="24"/>
                <w:szCs w:val="24"/>
                <w:lang w:eastAsia="zh-CN"/>
              </w:rPr>
              <w:t>李环晔</w:t>
            </w:r>
            <w:r>
              <w:rPr>
                <w:rFonts w:hint="eastAsia" w:ascii="楷体" w:hAnsi="楷体" w:eastAsia="楷体" w:cs="宋体"/>
                <w:sz w:val="24"/>
                <w:szCs w:val="24"/>
              </w:rPr>
              <w:t xml:space="preserve">    </w:t>
            </w:r>
            <w:r>
              <w:rPr>
                <w:rFonts w:hint="eastAsia" w:ascii="楷体" w:hAnsi="楷体" w:eastAsia="楷体" w:cs="宋体"/>
                <w:sz w:val="24"/>
                <w:szCs w:val="24"/>
                <w:lang w:val="en-US" w:eastAsia="zh-CN"/>
              </w:rPr>
              <w:t xml:space="preserve">        </w:t>
            </w:r>
            <w:r>
              <w:rPr>
                <w:rFonts w:hint="eastAsia" w:ascii="楷体" w:hAnsi="楷体" w:eastAsia="楷体" w:cs="宋体"/>
                <w:sz w:val="24"/>
                <w:szCs w:val="24"/>
              </w:rPr>
              <w:t xml:space="preserve">   陪同人员：</w:t>
            </w:r>
            <w:r>
              <w:rPr>
                <w:rFonts w:hint="eastAsia" w:ascii="楷体" w:hAnsi="楷体" w:eastAsia="楷体" w:cs="宋体"/>
                <w:sz w:val="24"/>
                <w:szCs w:val="24"/>
                <w:lang w:eastAsia="zh-CN"/>
              </w:rPr>
              <w:t>高韦</w:t>
            </w:r>
          </w:p>
        </w:tc>
        <w:tc>
          <w:tcPr>
            <w:tcW w:w="457" w:type="dxa"/>
            <w:vMerge w:val="restart"/>
            <w:vAlign w:val="center"/>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1" w:type="dxa"/>
            <w:vMerge w:val="continue"/>
            <w:vAlign w:val="center"/>
          </w:tcPr>
          <w:p>
            <w:pPr>
              <w:adjustRightInd w:val="0"/>
              <w:snapToGrid w:val="0"/>
              <w:spacing w:line="300" w:lineRule="exact"/>
              <w:rPr>
                <w:rFonts w:ascii="楷体" w:hAnsi="楷体" w:eastAsia="楷体" w:cs="宋体"/>
                <w:sz w:val="24"/>
                <w:szCs w:val="24"/>
              </w:rPr>
            </w:pPr>
          </w:p>
        </w:tc>
        <w:tc>
          <w:tcPr>
            <w:tcW w:w="751" w:type="dxa"/>
            <w:vMerge w:val="continue"/>
            <w:vAlign w:val="center"/>
          </w:tcPr>
          <w:p>
            <w:pPr>
              <w:adjustRightInd w:val="0"/>
              <w:snapToGrid w:val="0"/>
              <w:spacing w:line="300" w:lineRule="exact"/>
              <w:rPr>
                <w:rFonts w:ascii="楷体" w:hAnsi="楷体" w:eastAsia="楷体" w:cs="宋体"/>
                <w:sz w:val="24"/>
                <w:szCs w:val="24"/>
              </w:rPr>
            </w:pPr>
          </w:p>
        </w:tc>
        <w:tc>
          <w:tcPr>
            <w:tcW w:w="12120" w:type="dxa"/>
            <w:vAlign w:val="center"/>
          </w:tcPr>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rPr>
              <w:t>审核员：</w:t>
            </w:r>
            <w:r>
              <w:rPr>
                <w:rFonts w:hint="eastAsia" w:ascii="楷体" w:hAnsi="楷体" w:eastAsia="楷体" w:cs="宋体"/>
                <w:sz w:val="24"/>
                <w:szCs w:val="24"/>
                <w:lang w:eastAsia="zh-CN"/>
              </w:rPr>
              <w:t>杨园</w:t>
            </w:r>
            <w:r>
              <w:rPr>
                <w:rFonts w:hint="eastAsia" w:ascii="楷体" w:hAnsi="楷体" w:eastAsia="楷体" w:cs="宋体"/>
                <w:sz w:val="24"/>
                <w:szCs w:val="24"/>
                <w:lang w:val="en-US" w:eastAsia="zh-CN"/>
              </w:rPr>
              <w:t xml:space="preserve">   </w:t>
            </w:r>
            <w:r>
              <w:rPr>
                <w:rFonts w:hint="eastAsia" w:ascii="楷体" w:hAnsi="楷体" w:eastAsia="楷体" w:cs="宋体"/>
                <w:sz w:val="24"/>
                <w:szCs w:val="24"/>
              </w:rPr>
              <w:t xml:space="preserve">         </w:t>
            </w:r>
            <w:r>
              <w:rPr>
                <w:rFonts w:hint="eastAsia" w:ascii="楷体" w:hAnsi="楷体" w:eastAsia="楷体" w:cs="宋体"/>
                <w:sz w:val="24"/>
                <w:szCs w:val="24"/>
                <w:lang w:val="en-US" w:eastAsia="zh-CN"/>
              </w:rPr>
              <w:t xml:space="preserve"> </w:t>
            </w:r>
            <w:r>
              <w:rPr>
                <w:rFonts w:hint="eastAsia" w:ascii="楷体" w:hAnsi="楷体" w:eastAsia="楷体" w:cs="宋体"/>
                <w:sz w:val="24"/>
                <w:szCs w:val="24"/>
              </w:rPr>
              <w:t xml:space="preserve">  审核时间：202</w:t>
            </w:r>
            <w:r>
              <w:rPr>
                <w:rFonts w:ascii="楷体" w:hAnsi="楷体" w:eastAsia="楷体" w:cs="宋体"/>
                <w:sz w:val="24"/>
                <w:szCs w:val="24"/>
              </w:rPr>
              <w:t>2.</w:t>
            </w:r>
            <w:r>
              <w:rPr>
                <w:rFonts w:hint="eastAsia" w:ascii="楷体" w:hAnsi="楷体" w:eastAsia="楷体" w:cs="宋体"/>
                <w:sz w:val="24"/>
                <w:szCs w:val="24"/>
                <w:lang w:val="en-US" w:eastAsia="zh-CN"/>
              </w:rPr>
              <w:t>4.1日上午</w:t>
            </w:r>
          </w:p>
        </w:tc>
        <w:tc>
          <w:tcPr>
            <w:tcW w:w="457" w:type="dxa"/>
            <w:vMerge w:val="continue"/>
          </w:tcPr>
          <w:p>
            <w:pPr>
              <w:adjustRightInd w:val="0"/>
              <w:snapToGrid w:val="0"/>
              <w:spacing w:line="300" w:lineRule="exact"/>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1" w:type="dxa"/>
            <w:vMerge w:val="continue"/>
            <w:vAlign w:val="center"/>
          </w:tcPr>
          <w:p>
            <w:pPr>
              <w:adjustRightInd w:val="0"/>
              <w:snapToGrid w:val="0"/>
              <w:spacing w:line="300" w:lineRule="exact"/>
              <w:rPr>
                <w:rFonts w:ascii="楷体" w:hAnsi="楷体" w:eastAsia="楷体" w:cs="宋体"/>
                <w:sz w:val="24"/>
                <w:szCs w:val="24"/>
              </w:rPr>
            </w:pPr>
          </w:p>
        </w:tc>
        <w:tc>
          <w:tcPr>
            <w:tcW w:w="751" w:type="dxa"/>
            <w:vMerge w:val="continue"/>
            <w:vAlign w:val="center"/>
          </w:tcPr>
          <w:p>
            <w:pPr>
              <w:adjustRightInd w:val="0"/>
              <w:snapToGrid w:val="0"/>
              <w:spacing w:line="300" w:lineRule="exact"/>
              <w:rPr>
                <w:rFonts w:ascii="楷体" w:hAnsi="楷体" w:eastAsia="楷体" w:cs="宋体"/>
                <w:sz w:val="24"/>
                <w:szCs w:val="24"/>
              </w:rPr>
            </w:pPr>
          </w:p>
        </w:tc>
        <w:tc>
          <w:tcPr>
            <w:tcW w:w="12120" w:type="dxa"/>
            <w:vAlign w:val="center"/>
          </w:tcPr>
          <w:p>
            <w:pPr>
              <w:spacing w:line="300" w:lineRule="exact"/>
              <w:jc w:val="left"/>
              <w:rPr>
                <w:rFonts w:ascii="楷体" w:hAnsi="楷体" w:eastAsia="楷体" w:cs="宋体"/>
                <w:sz w:val="24"/>
                <w:szCs w:val="24"/>
              </w:rPr>
            </w:pPr>
            <w:r>
              <w:rPr>
                <w:rFonts w:hint="eastAsia" w:ascii="楷体" w:hAnsi="楷体" w:eastAsia="楷体" w:cs="宋体"/>
                <w:sz w:val="24"/>
                <w:szCs w:val="24"/>
              </w:rPr>
              <w:t>审核条款：</w:t>
            </w:r>
            <w:r>
              <w:rPr>
                <w:rFonts w:hint="eastAsia"/>
                <w:sz w:val="24"/>
                <w:szCs w:val="24"/>
              </w:rPr>
              <w:t>O</w:t>
            </w:r>
            <w:r>
              <w:rPr>
                <w:rFonts w:hint="eastAsia"/>
                <w:sz w:val="24"/>
                <w:szCs w:val="24"/>
                <w:lang w:val="en-US" w:eastAsia="zh-CN"/>
              </w:rPr>
              <w:t>:</w:t>
            </w:r>
            <w:r>
              <w:rPr>
                <w:sz w:val="24"/>
                <w:szCs w:val="24"/>
              </w:rPr>
              <w:t>4.1</w:t>
            </w:r>
            <w:r>
              <w:rPr>
                <w:rFonts w:hint="eastAsia"/>
                <w:sz w:val="24"/>
                <w:szCs w:val="24"/>
                <w:lang w:val="en-US" w:eastAsia="zh-CN"/>
              </w:rPr>
              <w:t>/</w:t>
            </w:r>
            <w:r>
              <w:rPr>
                <w:sz w:val="24"/>
                <w:szCs w:val="24"/>
              </w:rPr>
              <w:t>4.2</w:t>
            </w:r>
            <w:r>
              <w:rPr>
                <w:rFonts w:hint="eastAsia"/>
                <w:sz w:val="24"/>
                <w:szCs w:val="24"/>
                <w:lang w:val="en-US" w:eastAsia="zh-CN"/>
              </w:rPr>
              <w:t>/</w:t>
            </w:r>
            <w:r>
              <w:rPr>
                <w:sz w:val="24"/>
                <w:szCs w:val="24"/>
              </w:rPr>
              <w:t>4.3</w:t>
            </w:r>
            <w:r>
              <w:rPr>
                <w:rFonts w:hint="eastAsia"/>
                <w:sz w:val="24"/>
                <w:szCs w:val="24"/>
                <w:lang w:val="en-US" w:eastAsia="zh-CN"/>
              </w:rPr>
              <w:t>/</w:t>
            </w:r>
            <w:r>
              <w:rPr>
                <w:sz w:val="24"/>
                <w:szCs w:val="24"/>
              </w:rPr>
              <w:t>4.4</w:t>
            </w:r>
            <w:r>
              <w:rPr>
                <w:rFonts w:hint="eastAsia"/>
                <w:sz w:val="24"/>
                <w:szCs w:val="24"/>
                <w:lang w:val="en-US" w:eastAsia="zh-CN"/>
              </w:rPr>
              <w:t>/5</w:t>
            </w:r>
            <w:r>
              <w:rPr>
                <w:sz w:val="24"/>
                <w:szCs w:val="24"/>
              </w:rPr>
              <w:t>.</w:t>
            </w:r>
            <w:r>
              <w:rPr>
                <w:rFonts w:hint="eastAsia"/>
                <w:sz w:val="24"/>
                <w:szCs w:val="24"/>
                <w:lang w:val="en-US" w:eastAsia="zh-CN"/>
              </w:rPr>
              <w:t>1/5</w:t>
            </w:r>
            <w:r>
              <w:rPr>
                <w:sz w:val="24"/>
                <w:szCs w:val="24"/>
              </w:rPr>
              <w:t>.</w:t>
            </w:r>
            <w:r>
              <w:rPr>
                <w:rFonts w:hint="eastAsia"/>
                <w:sz w:val="24"/>
                <w:szCs w:val="24"/>
                <w:lang w:val="en-US" w:eastAsia="zh-CN"/>
              </w:rPr>
              <w:t>2/5.3/5.4/7.1/9.3/10</w:t>
            </w:r>
            <w:r>
              <w:rPr>
                <w:sz w:val="24"/>
                <w:szCs w:val="24"/>
              </w:rPr>
              <w:t>.</w:t>
            </w:r>
            <w:r>
              <w:rPr>
                <w:rFonts w:hint="eastAsia"/>
                <w:sz w:val="24"/>
                <w:szCs w:val="24"/>
                <w:lang w:val="en-US" w:eastAsia="zh-CN"/>
              </w:rPr>
              <w:t>1/10.3</w:t>
            </w:r>
          </w:p>
        </w:tc>
        <w:tc>
          <w:tcPr>
            <w:tcW w:w="457" w:type="dxa"/>
            <w:vMerge w:val="continue"/>
          </w:tcPr>
          <w:p>
            <w:pPr>
              <w:adjustRightInd w:val="0"/>
              <w:snapToGrid w:val="0"/>
              <w:spacing w:line="300" w:lineRule="exact"/>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理解组织及其环境</w:t>
            </w:r>
          </w:p>
        </w:tc>
        <w:tc>
          <w:tcPr>
            <w:tcW w:w="751" w:type="dxa"/>
          </w:tcPr>
          <w:p>
            <w:pPr>
              <w:adjustRightInd w:val="0"/>
              <w:snapToGrid w:val="0"/>
              <w:spacing w:line="300" w:lineRule="exact"/>
              <w:rPr>
                <w:rFonts w:ascii="楷体" w:hAnsi="楷体" w:eastAsia="楷体" w:cs="宋体"/>
                <w:sz w:val="24"/>
                <w:szCs w:val="24"/>
              </w:rPr>
            </w:pPr>
            <w:r>
              <w:rPr>
                <w:rFonts w:hint="eastAsia" w:cs="Times New Roman"/>
                <w:sz w:val="24"/>
                <w:szCs w:val="24"/>
                <w:lang w:val="en-US" w:eastAsia="zh-CN"/>
              </w:rPr>
              <w:t>O</w:t>
            </w:r>
            <w:r>
              <w:rPr>
                <w:rFonts w:hint="eastAsia" w:ascii="楷体" w:hAnsi="楷体" w:eastAsia="楷体" w:cs="宋体"/>
                <w:sz w:val="24"/>
                <w:szCs w:val="24"/>
              </w:rPr>
              <w:t>4.1</w:t>
            </w:r>
          </w:p>
        </w:tc>
        <w:tc>
          <w:tcPr>
            <w:tcW w:w="12120" w:type="dxa"/>
          </w:tcPr>
          <w:p>
            <w:pPr>
              <w:adjustRightInd w:val="0"/>
              <w:snapToGrid w:val="0"/>
              <w:spacing w:line="300" w:lineRule="exact"/>
              <w:rPr>
                <w:rFonts w:hint="eastAsia" w:ascii="楷体" w:hAnsi="楷体" w:eastAsia="楷体" w:cs="宋体"/>
                <w:sz w:val="24"/>
                <w:szCs w:val="24"/>
                <w:highlight w:val="yellow"/>
                <w:lang w:val="en-US" w:eastAsia="zh-CN"/>
              </w:rPr>
            </w:pPr>
            <w:r>
              <w:rPr>
                <w:rFonts w:ascii="楷体" w:hAnsi="楷体" w:eastAsia="楷体" w:cs="宋体"/>
                <w:sz w:val="24"/>
                <w:szCs w:val="24"/>
              </w:rPr>
              <w:t>1</w:t>
            </w:r>
            <w:r>
              <w:rPr>
                <w:rFonts w:hint="eastAsia" w:ascii="楷体" w:hAnsi="楷体" w:eastAsia="楷体" w:cs="宋体"/>
                <w:sz w:val="24"/>
                <w:szCs w:val="24"/>
              </w:rPr>
              <w:t>、</w:t>
            </w:r>
            <w:r>
              <w:rPr>
                <w:rFonts w:hint="eastAsia" w:ascii="楷体" w:hAnsi="楷体" w:eastAsia="楷体" w:cs="宋体"/>
                <w:sz w:val="24"/>
                <w:szCs w:val="24"/>
                <w:lang w:eastAsia="zh-CN"/>
              </w:rPr>
              <w:t>基本情况：现场查看了</w:t>
            </w:r>
            <w:r>
              <w:rPr>
                <w:rFonts w:hint="eastAsia" w:ascii="楷体" w:hAnsi="楷体" w:eastAsia="楷体" w:cs="宋体"/>
                <w:sz w:val="24"/>
                <w:szCs w:val="24"/>
              </w:rPr>
              <w:t>营业执照</w:t>
            </w:r>
            <w:r>
              <w:rPr>
                <w:rFonts w:hint="eastAsia" w:ascii="楷体" w:hAnsi="楷体" w:eastAsia="楷体" w:cs="宋体"/>
                <w:sz w:val="24"/>
                <w:szCs w:val="24"/>
                <w:lang w:eastAsia="zh-CN"/>
              </w:rPr>
              <w:t>，</w:t>
            </w:r>
            <w:r>
              <w:rPr>
                <w:rFonts w:hint="eastAsia" w:ascii="楷体" w:hAnsi="楷体" w:eastAsia="楷体" w:cs="宋体"/>
                <w:color w:val="000000"/>
                <w:kern w:val="0"/>
                <w:sz w:val="24"/>
                <w:szCs w:val="24"/>
              </w:rPr>
              <w:t>编</w:t>
            </w:r>
            <w:r>
              <w:rPr>
                <w:rFonts w:hint="eastAsia" w:ascii="楷体" w:hAnsi="楷体" w:eastAsia="楷体" w:cs="宋体"/>
                <w:sz w:val="24"/>
                <w:szCs w:val="24"/>
                <w:lang w:val="en-US" w:eastAsia="zh-CN"/>
              </w:rPr>
              <w:t>号：91131125MA0956WA4H ；</w:t>
            </w:r>
            <w:r>
              <w:rPr>
                <w:rFonts w:hint="eastAsia" w:ascii="楷体" w:hAnsi="楷体" w:eastAsia="楷体" w:cs="宋体"/>
                <w:sz w:val="24"/>
                <w:szCs w:val="24"/>
                <w:highlight w:val="none"/>
                <w:lang w:val="en-US" w:eastAsia="zh-CN"/>
              </w:rPr>
              <w:t>有效期：2017年10月9日——无期限；</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2、企业经营范围的相关描述：生产、设计、销售、安装；板式家具、木制家具、室内木门、办公家具。整体橱柜：生产、销售；刨花板、装饰画板、器材五金；销售；厨房用品、建材、装饰材料、家居饰品、木工机械设备、仪器仪表及零配件进出口业务；室内装饰装修工程施工、普通货物运输；软件开发；信息技术咨询服务；设计制作、代理、发布国内广告业务等；经营地址：</w:t>
            </w:r>
            <w:bookmarkStart w:id="0" w:name="注册地址"/>
            <w:r>
              <w:rPr>
                <w:rFonts w:hint="eastAsia" w:ascii="楷体" w:hAnsi="楷体" w:eastAsia="楷体" w:cs="宋体"/>
                <w:sz w:val="24"/>
                <w:szCs w:val="24"/>
                <w:lang w:val="en-US" w:eastAsia="zh-CN"/>
              </w:rPr>
              <w:t>安平县纬三路2号</w:t>
            </w:r>
            <w:bookmarkEnd w:id="0"/>
          </w:p>
          <w:p>
            <w:pPr>
              <w:adjustRightInd w:val="0"/>
              <w:snapToGrid w:val="0"/>
              <w:spacing w:line="300" w:lineRule="exact"/>
              <w:rPr>
                <w:rFonts w:hint="default" w:ascii="楷体" w:hAnsi="楷体" w:eastAsia="楷体" w:cs="宋体"/>
                <w:color w:val="000000"/>
                <w:kern w:val="0"/>
                <w:sz w:val="24"/>
                <w:szCs w:val="24"/>
                <w:lang w:val="en-US" w:eastAsia="zh-CN" w:bidi="ar-SA"/>
              </w:rPr>
            </w:pPr>
            <w:r>
              <w:rPr>
                <w:rFonts w:hint="eastAsia" w:ascii="楷体" w:hAnsi="楷体" w:eastAsia="楷体" w:cs="宋体"/>
                <w:sz w:val="24"/>
                <w:szCs w:val="24"/>
                <w:lang w:val="en-US" w:eastAsia="zh-CN"/>
              </w:rPr>
              <w:t>3、</w:t>
            </w:r>
            <w:r>
              <w:rPr>
                <w:rFonts w:hint="eastAsia" w:ascii="楷体" w:hAnsi="楷体" w:eastAsia="楷体" w:cs="宋体"/>
                <w:color w:val="000000"/>
                <w:kern w:val="0"/>
                <w:sz w:val="24"/>
                <w:szCs w:val="24"/>
                <w:lang w:val="en-US" w:eastAsia="zh-CN" w:bidi="ar-SA"/>
              </w:rPr>
              <w:t>企业目前经营状况：网上查询，无被投诉情况，无质量事故。企业主营高端家具的制作，有稳定的市场。</w:t>
            </w:r>
          </w:p>
          <w:p>
            <w:pPr>
              <w:adjustRightInd w:val="0"/>
              <w:snapToGrid w:val="0"/>
              <w:spacing w:line="300" w:lineRule="exact"/>
              <w:rPr>
                <w:rFonts w:hint="eastAsia" w:ascii="楷体" w:hAnsi="楷体" w:eastAsia="楷体" w:cs="宋体"/>
                <w:sz w:val="24"/>
                <w:szCs w:val="24"/>
              </w:rPr>
            </w:pPr>
            <w:r>
              <w:rPr>
                <w:rFonts w:ascii="楷体" w:hAnsi="楷体" w:eastAsia="楷体" w:cs="宋体"/>
                <w:sz w:val="24"/>
                <w:szCs w:val="24"/>
              </w:rPr>
              <w:t>4</w:t>
            </w:r>
            <w:r>
              <w:rPr>
                <w:rFonts w:hint="eastAsia" w:ascii="楷体" w:hAnsi="楷体" w:eastAsia="楷体" w:cs="宋体"/>
                <w:sz w:val="24"/>
                <w:szCs w:val="24"/>
              </w:rPr>
              <w:t>、内部因素和外部因素：</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 xml:space="preserve"> 查见《管理手册》HYJJ-QEOM-2021相关条款，公司最高管理者组织评审会议，分析确定与公司宗旨、目标和战略方向相关并影响其实现职业健康安全预期结果的各种内部、外部问题或因素。将内部、外部问题或因素的分析结果，作为建立管理体系考虑的因素。评审内容包含内外部因素，因素影响或要求的满足情况，评审结果及是否需要采取措施。</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 xml:space="preserve">   查外部因素主要有：</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a)宏观经济学因素，例如货币兑换汇率预测、国家经济走向、通货膨胀预测、信货可得性；</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b)社会因素，例如本地失业率、安全感、教育水平；</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c)政治因素，例如政治稳定性、公共投入、本地基础设施；</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d)技术因素例，如新领域科技、材料及设备、专利有效期，职业道德准则；</w:t>
            </w:r>
          </w:p>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e)竞争力，包括组织市场占有率、相似或可替代项目及服务、市场领先者趋势、顾客增长趋势、市场稳定性；</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 xml:space="preserve">   查内部主要有：财务因素、资源因素，人力因素，运营因素，组织架构等；</w:t>
            </w:r>
          </w:p>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 xml:space="preserve">   李总介绍，目前全市规模较大的同行业企业较多，产品价格、市场份额等均不占优势，目前市场竞争压力很大；此外，企业整体素质、管理水平有待进一步提高，需通过加强人员培训，提高企业整体素质，增强企业活力。</w:t>
            </w:r>
          </w:p>
          <w:p>
            <w:pPr>
              <w:adjustRightInd w:val="0"/>
              <w:snapToGrid w:val="0"/>
              <w:spacing w:line="300" w:lineRule="exact"/>
              <w:ind w:firstLine="480" w:firstLineChars="200"/>
              <w:rPr>
                <w:rFonts w:ascii="楷体" w:hAnsi="楷体" w:eastAsia="楷体" w:cs="宋体"/>
                <w:sz w:val="24"/>
                <w:szCs w:val="24"/>
              </w:rPr>
            </w:pPr>
            <w:r>
              <w:rPr>
                <w:rFonts w:hint="eastAsia" w:ascii="楷体" w:hAnsi="楷体" w:eastAsia="楷体" w:cs="宋体"/>
                <w:sz w:val="24"/>
                <w:szCs w:val="24"/>
              </w:rPr>
              <w:t>对这些内外部因素通过定期的网站获取、顾客沟通（总结、会议、培训等形式）及内部沟通总结等方式进行监视和评审。</w:t>
            </w: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理解相关方的需求和期望</w:t>
            </w:r>
          </w:p>
        </w:tc>
        <w:tc>
          <w:tcPr>
            <w:tcW w:w="75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O</w:t>
            </w:r>
          </w:p>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 xml:space="preserve">4.2 </w:t>
            </w:r>
          </w:p>
          <w:p>
            <w:pPr>
              <w:adjustRightInd w:val="0"/>
              <w:snapToGrid w:val="0"/>
              <w:spacing w:line="300" w:lineRule="exact"/>
              <w:rPr>
                <w:rFonts w:ascii="楷体" w:hAnsi="楷体" w:eastAsia="楷体" w:cs="宋体"/>
                <w:sz w:val="24"/>
                <w:szCs w:val="24"/>
              </w:rPr>
            </w:pPr>
          </w:p>
        </w:tc>
        <w:tc>
          <w:tcPr>
            <w:tcW w:w="12120" w:type="dxa"/>
          </w:tcPr>
          <w:p>
            <w:pPr>
              <w:adjustRightInd w:val="0"/>
              <w:snapToGrid w:val="0"/>
              <w:spacing w:line="300" w:lineRule="exact"/>
              <w:ind w:firstLine="480" w:firstLineChars="200"/>
              <w:rPr>
                <w:rFonts w:hint="eastAsia" w:ascii="楷体" w:hAnsi="楷体" w:eastAsia="楷体" w:cs="宋体"/>
                <w:sz w:val="24"/>
                <w:szCs w:val="24"/>
                <w:lang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查见《管理手册》相关条款，由</w:t>
            </w:r>
            <w:r>
              <w:rPr>
                <w:rFonts w:hint="eastAsia" w:ascii="楷体" w:hAnsi="楷体" w:eastAsia="楷体" w:cs="宋体"/>
                <w:sz w:val="24"/>
                <w:szCs w:val="24"/>
                <w:lang w:eastAsia="zh-CN"/>
              </w:rPr>
              <w:t>综合部每年确定与质量、环境和职业健康安全管理体系有关的相关方，</w:t>
            </w:r>
            <w:r>
              <w:rPr>
                <w:rFonts w:hint="eastAsia" w:ascii="楷体" w:hAnsi="楷体" w:eastAsia="楷体" w:cs="宋体"/>
                <w:sz w:val="24"/>
                <w:szCs w:val="24"/>
                <w:lang w:val="en-US" w:eastAsia="zh-CN"/>
              </w:rPr>
              <w:t>分析了</w:t>
            </w:r>
            <w:r>
              <w:rPr>
                <w:rFonts w:hint="eastAsia" w:ascii="楷体" w:hAnsi="楷体" w:eastAsia="楷体" w:cs="宋体"/>
                <w:sz w:val="24"/>
                <w:szCs w:val="24"/>
                <w:lang w:eastAsia="zh-CN"/>
              </w:rPr>
              <w:t>公司的相关方主要包括：原材料、辅助材料供方；运输公司；生活物资供方；废弃物回收商；工程承包方、临时工、访问者等。</w:t>
            </w:r>
          </w:p>
          <w:p>
            <w:pPr>
              <w:adjustRightInd w:val="0"/>
              <w:snapToGrid w:val="0"/>
              <w:spacing w:line="300" w:lineRule="exact"/>
              <w:ind w:firstLine="480" w:firstLineChars="200"/>
              <w:rPr>
                <w:rFonts w:hint="eastAsia" w:ascii="楷体" w:hAnsi="楷体" w:eastAsia="楷体" w:cs="宋体"/>
                <w:sz w:val="24"/>
                <w:szCs w:val="24"/>
                <w:lang w:eastAsia="zh-CN"/>
              </w:rPr>
            </w:pPr>
            <w:r>
              <w:rPr>
                <w:rFonts w:hint="eastAsia" w:ascii="楷体" w:hAnsi="楷体" w:eastAsia="楷体" w:cs="宋体"/>
                <w:sz w:val="24"/>
                <w:szCs w:val="24"/>
                <w:lang w:eastAsia="zh-CN"/>
              </w:rPr>
              <w:t>编制了相关方管理控制程序，评审了相关方的需求及监视指标，</w:t>
            </w:r>
          </w:p>
          <w:p>
            <w:pPr>
              <w:adjustRightInd w:val="0"/>
              <w:snapToGrid w:val="0"/>
              <w:spacing w:line="300" w:lineRule="exact"/>
              <w:ind w:firstLine="480" w:firstLineChars="200"/>
              <w:rPr>
                <w:rFonts w:hint="eastAsia" w:ascii="楷体" w:hAnsi="楷体" w:eastAsia="楷体" w:cs="宋体"/>
                <w:sz w:val="24"/>
                <w:szCs w:val="24"/>
              </w:rPr>
            </w:pPr>
            <w:r>
              <w:rPr>
                <w:rFonts w:hint="eastAsia" w:ascii="楷体" w:hAnsi="楷体" w:eastAsia="楷体" w:cs="宋体"/>
                <w:sz w:val="24"/>
                <w:szCs w:val="24"/>
                <w:lang w:eastAsia="zh-CN"/>
              </w:rPr>
              <w:t>——抽顾客期望</w:t>
            </w:r>
            <w:r>
              <w:rPr>
                <w:rFonts w:hint="eastAsia" w:ascii="楷体" w:hAnsi="楷体" w:eastAsia="楷体" w:cs="宋体"/>
                <w:sz w:val="24"/>
                <w:szCs w:val="24"/>
              </w:rPr>
              <w:t>：产品质量、环保、安全符合顾客要求，无安全事故，无环保事故</w:t>
            </w:r>
            <w:r>
              <w:rPr>
                <w:rFonts w:hint="eastAsia" w:ascii="楷体" w:hAnsi="楷体" w:eastAsia="楷体" w:cs="宋体"/>
                <w:sz w:val="24"/>
                <w:szCs w:val="24"/>
                <w:lang w:eastAsia="zh-CN"/>
              </w:rPr>
              <w:t>；</w:t>
            </w:r>
            <w:r>
              <w:rPr>
                <w:rFonts w:hint="eastAsia" w:ascii="楷体" w:hAnsi="楷体" w:eastAsia="楷体" w:cs="宋体"/>
                <w:sz w:val="24"/>
                <w:szCs w:val="24"/>
              </w:rPr>
              <w:t>提供寿命长，环保效果好、安全系数高的产品</w:t>
            </w:r>
            <w:r>
              <w:rPr>
                <w:rFonts w:hint="eastAsia" w:ascii="楷体" w:hAnsi="楷体" w:eastAsia="楷体" w:cs="宋体"/>
                <w:sz w:val="24"/>
                <w:szCs w:val="24"/>
                <w:lang w:eastAsia="zh-CN"/>
              </w:rPr>
              <w:t>；</w:t>
            </w:r>
            <w:r>
              <w:rPr>
                <w:rFonts w:hint="eastAsia" w:ascii="楷体" w:hAnsi="楷体" w:eastAsia="楷体" w:cs="宋体"/>
                <w:sz w:val="24"/>
                <w:szCs w:val="24"/>
              </w:rPr>
              <w:t>按时交货</w:t>
            </w:r>
            <w:r>
              <w:rPr>
                <w:rFonts w:hint="eastAsia" w:ascii="楷体" w:hAnsi="楷体" w:eastAsia="楷体" w:cs="宋体"/>
                <w:sz w:val="24"/>
                <w:szCs w:val="24"/>
                <w:lang w:eastAsia="zh-CN"/>
              </w:rPr>
              <w:t>；</w:t>
            </w:r>
            <w:r>
              <w:rPr>
                <w:rFonts w:hint="eastAsia" w:ascii="楷体" w:hAnsi="楷体" w:eastAsia="楷体" w:cs="宋体"/>
                <w:sz w:val="24"/>
                <w:szCs w:val="24"/>
              </w:rPr>
              <w:t>价格合理</w:t>
            </w:r>
            <w:r>
              <w:rPr>
                <w:rFonts w:hint="eastAsia" w:ascii="楷体" w:hAnsi="楷体" w:eastAsia="楷体" w:cs="宋体"/>
                <w:sz w:val="24"/>
                <w:szCs w:val="24"/>
                <w:lang w:eastAsia="zh-CN"/>
              </w:rPr>
              <w:t>。监视指标：顾客满意度</w:t>
            </w:r>
            <w:r>
              <w:rPr>
                <w:rFonts w:hint="eastAsia" w:ascii="楷体" w:hAnsi="楷体" w:eastAsia="楷体" w:cs="宋体"/>
                <w:sz w:val="24"/>
                <w:szCs w:val="24"/>
              </w:rPr>
              <w:t>；</w:t>
            </w:r>
          </w:p>
          <w:p>
            <w:pPr>
              <w:adjustRightInd w:val="0"/>
              <w:snapToGrid w:val="0"/>
              <w:spacing w:line="300" w:lineRule="exact"/>
              <w:ind w:firstLine="480" w:firstLineChars="200"/>
              <w:rPr>
                <w:rFonts w:hint="eastAsia" w:ascii="楷体" w:hAnsi="楷体" w:eastAsia="楷体" w:cs="宋体"/>
                <w:sz w:val="24"/>
                <w:szCs w:val="24"/>
                <w:lang w:eastAsia="zh-CN"/>
              </w:rPr>
            </w:pPr>
            <w:r>
              <w:rPr>
                <w:rFonts w:hint="eastAsia" w:ascii="楷体" w:hAnsi="楷体" w:eastAsia="楷体" w:cs="宋体"/>
                <w:sz w:val="24"/>
                <w:szCs w:val="24"/>
                <w:lang w:eastAsia="zh-CN"/>
              </w:rPr>
              <w:t>——抽</w:t>
            </w:r>
            <w:r>
              <w:rPr>
                <w:rFonts w:hint="eastAsia" w:ascii="楷体" w:hAnsi="楷体" w:eastAsia="楷体" w:cs="宋体"/>
                <w:sz w:val="24"/>
                <w:szCs w:val="24"/>
              </w:rPr>
              <w:t>政府</w:t>
            </w:r>
            <w:r>
              <w:rPr>
                <w:rFonts w:hint="eastAsia" w:ascii="楷体" w:hAnsi="楷体" w:eastAsia="楷体" w:cs="宋体"/>
                <w:sz w:val="24"/>
                <w:szCs w:val="24"/>
                <w:lang w:eastAsia="zh-CN"/>
              </w:rPr>
              <w:t>监管机构</w:t>
            </w:r>
            <w:r>
              <w:rPr>
                <w:rFonts w:hint="eastAsia" w:ascii="楷体" w:hAnsi="楷体" w:eastAsia="楷体" w:cs="宋体"/>
                <w:sz w:val="24"/>
                <w:szCs w:val="24"/>
              </w:rPr>
              <w:t>：安全经营，无安全事故</w:t>
            </w:r>
            <w:r>
              <w:rPr>
                <w:rFonts w:hint="eastAsia" w:ascii="楷体" w:hAnsi="楷体" w:eastAsia="楷体" w:cs="宋体"/>
                <w:sz w:val="24"/>
                <w:szCs w:val="24"/>
                <w:lang w:eastAsia="zh-CN"/>
              </w:rPr>
              <w:t>；</w:t>
            </w:r>
            <w:r>
              <w:rPr>
                <w:rFonts w:hint="eastAsia" w:ascii="楷体" w:hAnsi="楷体" w:eastAsia="楷体" w:cs="宋体"/>
                <w:sz w:val="24"/>
                <w:szCs w:val="24"/>
              </w:rPr>
              <w:t>环保经营，无环保事故</w:t>
            </w:r>
            <w:r>
              <w:rPr>
                <w:rFonts w:hint="eastAsia" w:ascii="楷体" w:hAnsi="楷体" w:eastAsia="楷体" w:cs="宋体"/>
                <w:sz w:val="24"/>
                <w:szCs w:val="24"/>
                <w:lang w:eastAsia="zh-CN"/>
              </w:rPr>
              <w:t>；</w:t>
            </w:r>
            <w:r>
              <w:rPr>
                <w:rFonts w:hint="eastAsia" w:ascii="楷体" w:hAnsi="楷体" w:eastAsia="楷体" w:cs="宋体"/>
                <w:sz w:val="24"/>
                <w:szCs w:val="24"/>
              </w:rPr>
              <w:t>产品质量合格</w:t>
            </w:r>
            <w:r>
              <w:rPr>
                <w:rFonts w:hint="eastAsia" w:ascii="楷体" w:hAnsi="楷体" w:eastAsia="楷体" w:cs="宋体"/>
                <w:sz w:val="24"/>
                <w:szCs w:val="24"/>
                <w:lang w:eastAsia="zh-CN"/>
              </w:rPr>
              <w:t>；</w:t>
            </w:r>
            <w:r>
              <w:rPr>
                <w:rFonts w:hint="eastAsia" w:ascii="楷体" w:hAnsi="楷体" w:eastAsia="楷体" w:cs="宋体"/>
                <w:sz w:val="24"/>
                <w:szCs w:val="24"/>
              </w:rPr>
              <w:t>及时交税、无偷税漏税</w:t>
            </w:r>
            <w:r>
              <w:rPr>
                <w:rFonts w:hint="eastAsia" w:ascii="楷体" w:hAnsi="楷体" w:eastAsia="楷体" w:cs="宋体"/>
                <w:sz w:val="24"/>
                <w:szCs w:val="24"/>
                <w:lang w:eastAsia="zh-CN"/>
              </w:rPr>
              <w:t>。监视指标：无安全事故，无环保事故，产品质量合格，及时交税、无偷税漏税；</w:t>
            </w:r>
          </w:p>
          <w:p>
            <w:pPr>
              <w:adjustRightInd w:val="0"/>
              <w:snapToGrid w:val="0"/>
              <w:spacing w:line="3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另</w:t>
            </w:r>
            <w:r>
              <w:rPr>
                <w:rFonts w:hint="eastAsia" w:ascii="楷体" w:hAnsi="楷体" w:eastAsia="楷体" w:cs="宋体"/>
                <w:sz w:val="24"/>
                <w:szCs w:val="24"/>
                <w:lang w:eastAsia="zh-CN"/>
              </w:rPr>
              <w:t>查</w:t>
            </w:r>
            <w:r>
              <w:rPr>
                <w:rFonts w:hint="eastAsia" w:ascii="楷体" w:hAnsi="楷体" w:eastAsia="楷体" w:cs="宋体"/>
                <w:sz w:val="24"/>
                <w:szCs w:val="24"/>
              </w:rPr>
              <w:t>其他相关方</w:t>
            </w:r>
            <w:r>
              <w:rPr>
                <w:rFonts w:hint="eastAsia" w:ascii="楷体" w:hAnsi="楷体" w:eastAsia="楷体" w:cs="宋体"/>
                <w:sz w:val="24"/>
                <w:szCs w:val="24"/>
                <w:lang w:eastAsia="zh-CN"/>
              </w:rPr>
              <w:t>评审了其</w:t>
            </w:r>
            <w:r>
              <w:rPr>
                <w:rFonts w:hint="eastAsia" w:ascii="楷体" w:hAnsi="楷体" w:eastAsia="楷体" w:cs="宋体"/>
                <w:sz w:val="24"/>
                <w:szCs w:val="24"/>
              </w:rPr>
              <w:t>需求，</w:t>
            </w:r>
            <w:r>
              <w:rPr>
                <w:rFonts w:hint="eastAsia" w:ascii="楷体" w:hAnsi="楷体" w:eastAsia="楷体" w:cs="宋体"/>
                <w:sz w:val="24"/>
                <w:szCs w:val="24"/>
                <w:lang w:eastAsia="zh-CN"/>
              </w:rPr>
              <w:t>建立了检测指标，</w:t>
            </w:r>
            <w:r>
              <w:rPr>
                <w:rFonts w:hint="eastAsia" w:ascii="楷体" w:hAnsi="楷体" w:eastAsia="楷体" w:cs="宋体"/>
                <w:sz w:val="24"/>
                <w:szCs w:val="24"/>
              </w:rPr>
              <w:t>符合要求。</w:t>
            </w:r>
          </w:p>
          <w:p>
            <w:pPr>
              <w:adjustRightInd w:val="0"/>
              <w:snapToGrid w:val="0"/>
              <w:spacing w:line="300" w:lineRule="exact"/>
              <w:ind w:firstLine="480" w:firstLineChars="200"/>
              <w:rPr>
                <w:rFonts w:hint="eastAsia" w:ascii="楷体" w:hAnsi="楷体" w:eastAsia="楷体" w:cs="宋体"/>
                <w:sz w:val="24"/>
                <w:szCs w:val="24"/>
                <w:lang w:eastAsia="zh-CN"/>
              </w:rPr>
            </w:pPr>
            <w:r>
              <w:rPr>
                <w:rFonts w:hint="eastAsia" w:ascii="楷体" w:hAnsi="楷体" w:eastAsia="楷体" w:cs="宋体"/>
                <w:sz w:val="24"/>
                <w:szCs w:val="24"/>
                <w:lang w:eastAsia="zh-CN"/>
              </w:rPr>
              <w:t>制定了《相关方管理制度》，用于对相关方施加影响和管理。有施加影响相关方一览表及相关方告知书。</w:t>
            </w:r>
          </w:p>
          <w:p>
            <w:pPr>
              <w:adjustRightInd w:val="0"/>
              <w:snapToGrid w:val="0"/>
              <w:spacing w:line="300" w:lineRule="exact"/>
              <w:ind w:firstLine="480" w:firstLineChars="200"/>
              <w:rPr>
                <w:rFonts w:hint="eastAsia" w:ascii="楷体" w:hAnsi="楷体" w:eastAsia="楷体" w:cs="宋体"/>
                <w:sz w:val="24"/>
                <w:szCs w:val="24"/>
                <w:lang w:eastAsia="zh-CN"/>
              </w:rPr>
            </w:pPr>
            <w:r>
              <w:rPr>
                <w:rFonts w:hint="eastAsia" w:ascii="楷体" w:hAnsi="楷体" w:eastAsia="楷体" w:cs="宋体"/>
                <w:sz w:val="24"/>
                <w:szCs w:val="24"/>
              </w:rPr>
              <w:t>目前企业未发生处罚、相关方投诉事件</w:t>
            </w:r>
            <w:r>
              <w:rPr>
                <w:rFonts w:hint="eastAsia" w:ascii="楷体" w:hAnsi="楷体" w:eastAsia="楷体" w:cs="宋体"/>
                <w:sz w:val="24"/>
                <w:szCs w:val="24"/>
                <w:lang w:eastAsia="zh-CN"/>
              </w:rPr>
              <w:t>。</w:t>
            </w: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确定管理体系的范围</w:t>
            </w:r>
          </w:p>
        </w:tc>
        <w:tc>
          <w:tcPr>
            <w:tcW w:w="75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O</w:t>
            </w:r>
          </w:p>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4.3</w:t>
            </w:r>
          </w:p>
          <w:p>
            <w:pPr>
              <w:adjustRightInd w:val="0"/>
              <w:snapToGrid w:val="0"/>
              <w:spacing w:line="300" w:lineRule="exact"/>
              <w:rPr>
                <w:rFonts w:ascii="楷体" w:hAnsi="楷体" w:eastAsia="楷体" w:cs="宋体"/>
                <w:sz w:val="24"/>
                <w:szCs w:val="24"/>
              </w:rPr>
            </w:pPr>
          </w:p>
        </w:tc>
        <w:tc>
          <w:tcPr>
            <w:tcW w:w="12120" w:type="dxa"/>
          </w:tcPr>
          <w:p>
            <w:pPr>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查见公司《管理手册》HYJJ-QEOM-2021，版本A/0,发布实施时间：2021年10月8日。确定了管理体系的范围及边界。管理手册中明确了体系的范围，管理手册可获得并得到保持，查文件发放回收记录，有发放记录，发放时间：2021.10.8，有签收人签名。</w:t>
            </w:r>
          </w:p>
          <w:p>
            <w:pPr>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公司认证的范围是：</w:t>
            </w:r>
            <w:bookmarkStart w:id="1" w:name="审核范围"/>
          </w:p>
          <w:bookmarkEnd w:id="1"/>
          <w:p>
            <w:pPr>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O：高端定制家具的生产所涉及场所的相关职业健康安全管理活动；</w:t>
            </w:r>
          </w:p>
          <w:p>
            <w:pPr>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注册地址（同营业执照）：安平县纬三路2号</w:t>
            </w:r>
          </w:p>
          <w:p>
            <w:pPr>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经营地址（同审核现场）：安平县纬三路2号</w:t>
            </w:r>
          </w:p>
          <w:p>
            <w:pPr>
              <w:pStyle w:val="2"/>
              <w:adjustRightInd w:val="0"/>
              <w:snapToGrid w:val="0"/>
              <w:spacing w:before="0" w:after="0" w:line="300" w:lineRule="exact"/>
              <w:rPr>
                <w:rFonts w:ascii="楷体" w:hAnsi="楷体" w:eastAsia="楷体" w:cs="宋体"/>
                <w:bCs w:val="0"/>
                <w:sz w:val="24"/>
                <w:szCs w:val="24"/>
              </w:rPr>
            </w:pPr>
            <w:r>
              <w:rPr>
                <w:rFonts w:hint="eastAsia" w:ascii="楷体" w:hAnsi="楷体" w:eastAsia="楷体" w:cs="宋体"/>
                <w:bCs w:val="0"/>
                <w:spacing w:val="0"/>
                <w:kern w:val="2"/>
                <w:sz w:val="24"/>
                <w:szCs w:val="24"/>
                <w:lang w:val="en-US" w:eastAsia="zh-CN" w:bidi="ar-SA"/>
              </w:rPr>
              <w:t>在确定职业健康安全管理体系的范围时考虑了公司的内外部因素和相关方的需求和期望，考虑了公司的产品和服务，考率了与公司的宗旨和战略方向一致。符合标准要求。</w:t>
            </w: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管理体系及其过程</w:t>
            </w:r>
          </w:p>
        </w:tc>
        <w:tc>
          <w:tcPr>
            <w:tcW w:w="75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O</w:t>
            </w:r>
          </w:p>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 xml:space="preserve">4.4 </w:t>
            </w:r>
          </w:p>
          <w:p>
            <w:pPr>
              <w:adjustRightInd w:val="0"/>
              <w:snapToGrid w:val="0"/>
              <w:spacing w:line="300" w:lineRule="exact"/>
              <w:rPr>
                <w:rFonts w:ascii="楷体" w:hAnsi="楷体" w:eastAsia="楷体" w:cs="宋体"/>
                <w:sz w:val="24"/>
                <w:szCs w:val="24"/>
              </w:rPr>
            </w:pPr>
          </w:p>
        </w:tc>
        <w:tc>
          <w:tcPr>
            <w:tcW w:w="12120"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zh-CN"/>
              </w:rPr>
              <w:t xml:space="preserve">本公司按照 </w:t>
            </w:r>
            <w:r>
              <w:rPr>
                <w:rFonts w:hint="eastAsia" w:ascii="楷体" w:hAnsi="楷体" w:eastAsia="楷体" w:cs="宋体"/>
                <w:sz w:val="24"/>
                <w:szCs w:val="24"/>
              </w:rPr>
              <w:t>GB/T19001-2016</w:t>
            </w:r>
            <w:r>
              <w:rPr>
                <w:rFonts w:hint="eastAsia" w:ascii="楷体" w:hAnsi="楷体" w:eastAsia="楷体" w:cs="宋体"/>
                <w:sz w:val="24"/>
                <w:szCs w:val="24"/>
                <w:lang w:val="zh-CN"/>
              </w:rPr>
              <w:t xml:space="preserve">、 </w:t>
            </w:r>
            <w:r>
              <w:rPr>
                <w:rFonts w:hint="eastAsia" w:ascii="楷体" w:hAnsi="楷体" w:eastAsia="楷体" w:cs="宋体"/>
                <w:sz w:val="24"/>
                <w:szCs w:val="24"/>
              </w:rPr>
              <w:t>GB/T2</w:t>
            </w:r>
            <w:r>
              <w:rPr>
                <w:rFonts w:hint="eastAsia" w:ascii="楷体" w:hAnsi="楷体" w:eastAsia="楷体" w:cs="宋体"/>
                <w:sz w:val="24"/>
                <w:szCs w:val="24"/>
                <w:lang w:val="zh-CN"/>
              </w:rPr>
              <w:t>4001</w:t>
            </w:r>
            <w:r>
              <w:rPr>
                <w:rFonts w:hint="eastAsia" w:ascii="楷体" w:hAnsi="楷体" w:eastAsia="楷体" w:cs="宋体"/>
                <w:sz w:val="24"/>
                <w:szCs w:val="24"/>
              </w:rPr>
              <w:t>-2016</w:t>
            </w:r>
            <w:r>
              <w:rPr>
                <w:rFonts w:hint="eastAsia" w:ascii="楷体" w:hAnsi="楷体" w:eastAsia="楷体" w:cs="宋体"/>
                <w:sz w:val="24"/>
                <w:szCs w:val="24"/>
                <w:lang w:val="zh-CN"/>
              </w:rPr>
              <w:t>和GB/T45001-2020</w:t>
            </w:r>
            <w:r>
              <w:rPr>
                <w:rFonts w:hint="eastAsia" w:ascii="楷体" w:hAnsi="楷体" w:eastAsia="楷体" w:cs="宋体"/>
                <w:sz w:val="24"/>
                <w:szCs w:val="24"/>
              </w:rPr>
              <w:t>等</w:t>
            </w:r>
            <w:r>
              <w:rPr>
                <w:rFonts w:hint="eastAsia" w:ascii="楷体" w:hAnsi="楷体" w:eastAsia="楷体" w:cs="宋体"/>
                <w:sz w:val="24"/>
                <w:szCs w:val="24"/>
                <w:lang w:val="zh-CN"/>
              </w:rPr>
              <w:t>标准的要求，</w:t>
            </w:r>
            <w:r>
              <w:rPr>
                <w:rFonts w:hint="eastAsia" w:ascii="楷体" w:hAnsi="楷体" w:eastAsia="楷体" w:cs="宋体"/>
                <w:sz w:val="24"/>
                <w:szCs w:val="24"/>
              </w:rPr>
              <w:t>识别了经营各环节的过程及其相互作用，建立了</w:t>
            </w:r>
            <w:r>
              <w:rPr>
                <w:rFonts w:hint="eastAsia" w:ascii="楷体" w:hAnsi="楷体" w:eastAsia="楷体" w:cs="宋体"/>
                <w:sz w:val="24"/>
                <w:szCs w:val="24"/>
                <w:lang w:val="zh-CN"/>
              </w:rPr>
              <w:t>质量/环境/职业健康安全管理体系,</w:t>
            </w:r>
            <w:r>
              <w:rPr>
                <w:rFonts w:hint="eastAsia" w:ascii="楷体" w:hAnsi="楷体" w:eastAsia="楷体" w:cs="宋体"/>
                <w:sz w:val="24"/>
                <w:szCs w:val="24"/>
              </w:rPr>
              <w:t>并形成文件，本公司全体员工将有效地贯彻执行并持续改进其有效性。</w:t>
            </w:r>
          </w:p>
          <w:p>
            <w:pPr>
              <w:pStyle w:val="2"/>
              <w:adjustRightInd w:val="0"/>
              <w:snapToGrid w:val="0"/>
              <w:spacing w:before="0" w:after="0" w:line="300" w:lineRule="exact"/>
              <w:rPr>
                <w:rFonts w:hint="eastAsia" w:ascii="楷体" w:hAnsi="楷体" w:eastAsia="楷体" w:cs="宋体"/>
                <w:bCs w:val="0"/>
                <w:sz w:val="24"/>
                <w:szCs w:val="24"/>
              </w:rPr>
            </w:pPr>
            <w:r>
              <w:rPr>
                <w:rFonts w:hint="eastAsia" w:ascii="楷体" w:hAnsi="楷体" w:eastAsia="楷体" w:cs="宋体"/>
                <w:bCs w:val="0"/>
                <w:sz w:val="24"/>
                <w:szCs w:val="24"/>
              </w:rPr>
              <w:t>管理体系及其过程：公司于202</w:t>
            </w:r>
            <w:r>
              <w:rPr>
                <w:rFonts w:ascii="楷体" w:hAnsi="楷体" w:eastAsia="楷体" w:cs="宋体"/>
                <w:bCs w:val="0"/>
                <w:sz w:val="24"/>
                <w:szCs w:val="24"/>
              </w:rPr>
              <w:t>1</w:t>
            </w:r>
            <w:r>
              <w:rPr>
                <w:rFonts w:hint="eastAsia" w:ascii="楷体" w:hAnsi="楷体" w:eastAsia="楷体" w:cs="宋体"/>
                <w:bCs w:val="0"/>
                <w:sz w:val="24"/>
                <w:szCs w:val="24"/>
              </w:rPr>
              <w:t>年对质量/环境/职业健康安全管理体系进行策划，识别了各个过程、环境因素、危险源等，编制了管理手册、程序文件、</w:t>
            </w:r>
            <w:r>
              <w:rPr>
                <w:rFonts w:hint="eastAsia" w:ascii="楷体" w:hAnsi="楷体" w:eastAsia="楷体" w:cs="宋体"/>
                <w:bCs w:val="0"/>
                <w:sz w:val="24"/>
                <w:szCs w:val="24"/>
                <w:lang w:eastAsia="zh-CN"/>
              </w:rPr>
              <w:t>三级作业</w:t>
            </w:r>
            <w:r>
              <w:rPr>
                <w:rFonts w:hint="eastAsia" w:ascii="楷体" w:hAnsi="楷体" w:eastAsia="楷体" w:cs="宋体"/>
                <w:bCs w:val="0"/>
                <w:sz w:val="24"/>
                <w:szCs w:val="24"/>
              </w:rPr>
              <w:t>文件及记录，于202</w:t>
            </w:r>
            <w:r>
              <w:rPr>
                <w:rFonts w:ascii="楷体" w:hAnsi="楷体" w:eastAsia="楷体" w:cs="宋体"/>
                <w:bCs w:val="0"/>
                <w:sz w:val="24"/>
                <w:szCs w:val="24"/>
              </w:rPr>
              <w:t>1</w:t>
            </w:r>
            <w:r>
              <w:rPr>
                <w:rFonts w:hint="eastAsia" w:ascii="楷体" w:hAnsi="楷体" w:eastAsia="楷体" w:cs="宋体"/>
                <w:bCs w:val="0"/>
                <w:sz w:val="24"/>
                <w:szCs w:val="24"/>
              </w:rPr>
              <w:t>年</w:t>
            </w:r>
            <w:r>
              <w:rPr>
                <w:rFonts w:hint="eastAsia" w:ascii="楷体" w:hAnsi="楷体" w:eastAsia="楷体" w:cs="宋体"/>
                <w:bCs w:val="0"/>
                <w:sz w:val="24"/>
                <w:szCs w:val="24"/>
                <w:lang w:val="en-US" w:eastAsia="zh-CN"/>
              </w:rPr>
              <w:t>10</w:t>
            </w:r>
            <w:r>
              <w:rPr>
                <w:rFonts w:hint="eastAsia" w:ascii="楷体" w:hAnsi="楷体" w:eastAsia="楷体" w:cs="宋体"/>
                <w:bCs w:val="0"/>
                <w:sz w:val="24"/>
                <w:szCs w:val="24"/>
              </w:rPr>
              <w:t>月</w:t>
            </w:r>
            <w:r>
              <w:rPr>
                <w:rFonts w:hint="eastAsia" w:ascii="楷体" w:hAnsi="楷体" w:eastAsia="楷体" w:cs="宋体"/>
                <w:bCs w:val="0"/>
                <w:sz w:val="24"/>
                <w:szCs w:val="24"/>
                <w:lang w:val="en-US" w:eastAsia="zh-CN"/>
              </w:rPr>
              <w:t>8</w:t>
            </w:r>
            <w:r>
              <w:rPr>
                <w:rFonts w:hint="eastAsia" w:ascii="楷体" w:hAnsi="楷体" w:eastAsia="楷体" w:cs="宋体"/>
                <w:bCs w:val="0"/>
                <w:sz w:val="24"/>
                <w:szCs w:val="24"/>
              </w:rPr>
              <w:t>日</w:t>
            </w:r>
            <w:r>
              <w:rPr>
                <w:rFonts w:hint="eastAsia" w:ascii="楷体" w:hAnsi="楷体" w:eastAsia="楷体" w:cs="宋体"/>
                <w:bCs w:val="0"/>
                <w:sz w:val="24"/>
                <w:szCs w:val="24"/>
                <w:lang w:val="zh-CN"/>
              </w:rPr>
              <w:t>发布</w:t>
            </w:r>
            <w:r>
              <w:rPr>
                <w:rFonts w:hint="eastAsia" w:ascii="楷体" w:hAnsi="楷体" w:eastAsia="楷体" w:cs="宋体"/>
                <w:bCs w:val="0"/>
                <w:sz w:val="24"/>
                <w:szCs w:val="24"/>
              </w:rPr>
              <w:t>并</w:t>
            </w:r>
            <w:r>
              <w:rPr>
                <w:rFonts w:hint="eastAsia" w:ascii="楷体" w:hAnsi="楷体" w:eastAsia="楷体" w:cs="宋体"/>
                <w:bCs w:val="0"/>
                <w:sz w:val="24"/>
                <w:szCs w:val="24"/>
                <w:lang w:val="zh-CN"/>
              </w:rPr>
              <w:t>实施。</w:t>
            </w:r>
            <w:r>
              <w:rPr>
                <w:rFonts w:hint="eastAsia" w:ascii="楷体" w:hAnsi="楷体" w:eastAsia="楷体" w:cs="宋体"/>
                <w:bCs w:val="0"/>
                <w:sz w:val="24"/>
                <w:szCs w:val="24"/>
              </w:rPr>
              <w:t>经过</w:t>
            </w:r>
            <w:r>
              <w:rPr>
                <w:rFonts w:hint="eastAsia" w:ascii="楷体" w:hAnsi="楷体" w:eastAsia="楷体" w:cs="宋体"/>
                <w:bCs w:val="0"/>
                <w:sz w:val="24"/>
                <w:szCs w:val="24"/>
                <w:lang w:eastAsia="zh-CN"/>
              </w:rPr>
              <w:t>近半年</w:t>
            </w:r>
            <w:r>
              <w:rPr>
                <w:rFonts w:hint="eastAsia" w:ascii="楷体" w:hAnsi="楷体" w:eastAsia="楷体" w:cs="宋体"/>
                <w:bCs w:val="0"/>
                <w:sz w:val="24"/>
                <w:szCs w:val="24"/>
              </w:rPr>
              <w:t>的运行，管理体系运行正常。</w:t>
            </w:r>
          </w:p>
          <w:p>
            <w:pPr>
              <w:pStyle w:val="2"/>
              <w:adjustRightInd w:val="0"/>
              <w:snapToGrid w:val="0"/>
              <w:spacing w:before="0" w:after="0" w:line="300" w:lineRule="exact"/>
              <w:rPr>
                <w:rFonts w:hint="eastAsia" w:ascii="楷体" w:hAnsi="楷体" w:eastAsia="楷体" w:cs="宋体"/>
                <w:bCs w:val="0"/>
                <w:sz w:val="24"/>
                <w:szCs w:val="24"/>
                <w:lang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识别了</w:t>
            </w:r>
            <w:r>
              <w:rPr>
                <w:rFonts w:hint="eastAsia" w:ascii="楷体" w:hAnsi="楷体" w:eastAsia="楷体" w:cs="宋体"/>
                <w:bCs w:val="0"/>
                <w:sz w:val="24"/>
                <w:szCs w:val="24"/>
                <w:lang w:eastAsia="zh-CN"/>
              </w:rPr>
              <w:t>外包过程：产品运输</w:t>
            </w:r>
          </w:p>
          <w:p>
            <w:pPr>
              <w:pStyle w:val="2"/>
              <w:adjustRightInd w:val="0"/>
              <w:snapToGrid w:val="0"/>
              <w:spacing w:before="0" w:after="0" w:line="300" w:lineRule="exact"/>
              <w:rPr>
                <w:rFonts w:hint="eastAsia" w:ascii="楷体" w:hAnsi="楷体" w:eastAsia="楷体" w:cs="宋体"/>
                <w:bCs w:val="0"/>
                <w:sz w:val="24"/>
                <w:szCs w:val="24"/>
                <w:lang w:eastAsia="zh-CN"/>
              </w:rPr>
            </w:pP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领导作用和承诺</w:t>
            </w:r>
          </w:p>
        </w:tc>
        <w:tc>
          <w:tcPr>
            <w:tcW w:w="75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O</w:t>
            </w:r>
          </w:p>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5.1</w:t>
            </w:r>
          </w:p>
          <w:p>
            <w:pPr>
              <w:adjustRightInd w:val="0"/>
              <w:snapToGrid w:val="0"/>
              <w:spacing w:line="300" w:lineRule="exact"/>
              <w:rPr>
                <w:rFonts w:ascii="楷体" w:hAnsi="楷体" w:eastAsia="楷体" w:cs="宋体"/>
                <w:sz w:val="24"/>
                <w:szCs w:val="24"/>
              </w:rPr>
            </w:pPr>
          </w:p>
        </w:tc>
        <w:tc>
          <w:tcPr>
            <w:tcW w:w="12120"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rPr>
              <w:t>公司最高管理者通过以下活动证实其对质量环境职业健康安全管理体系的领导作用和承诺：</w:t>
            </w:r>
            <w:r>
              <w:rPr>
                <w:rFonts w:hint="eastAsia" w:ascii="楷体" w:hAnsi="楷体" w:eastAsia="楷体" w:cs="宋体"/>
                <w:sz w:val="24"/>
                <w:szCs w:val="24"/>
              </w:rPr>
              <w:br w:type="textWrapping"/>
            </w:r>
            <w:r>
              <w:rPr>
                <w:rFonts w:hint="eastAsia" w:ascii="楷体" w:hAnsi="楷体" w:eastAsia="楷体" w:cs="宋体"/>
                <w:sz w:val="24"/>
                <w:szCs w:val="24"/>
                <w:lang w:eastAsia="zh-CN"/>
              </w:rPr>
              <w:t xml:space="preserve">a)对质量、环境、职业健康安全管理体系的有效性负责，并承担体系运行主要责任；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b)确保制定质量、环境、职业健康安全管理体系的质量方针和管理目标，并与组织环境和战略方向相一致；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c)确保质量、环境、职业健康安全管理体系要求融入与组织的业务过程；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d)促进使用过程方法和基于风险的思维；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e)确保获得质量、环境、职业健康安全管理体系所需的资源；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f)就有效质量、环境、职业健康安全管理体系的重要性和符合管理体系要求的重要性进行沟通；</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g)在组织内发展、引领并促成一种支持效质量、环境、职业健康安全管理体系预期结果的文化；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h)确保实现质量、环境、职业健康安全管理体系的预期结果；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i)促使、指导和支持员工努力提高质量、环境、职业健康安全管理体系的有效性做出贡献；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j)推动改进；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 xml:space="preserve">k)支持其他相关管理者履行其相关领域的职责范围内证实及领导作用； </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l)保护员工在报告事件、危险源、风险和机遇是免遭报复；</w:t>
            </w:r>
          </w:p>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m)确保组织建立并并实施员工协商和参与的过程；</w:t>
            </w:r>
          </w:p>
          <w:p>
            <w:pPr>
              <w:adjustRightInd w:val="0"/>
              <w:snapToGrid w:val="0"/>
              <w:spacing w:line="300" w:lineRule="exact"/>
              <w:rPr>
                <w:rFonts w:hint="eastAsia" w:ascii="宋体" w:hAnsi="宋体"/>
                <w:sz w:val="24"/>
                <w:szCs w:val="24"/>
              </w:rPr>
            </w:pPr>
            <w:r>
              <w:rPr>
                <w:rFonts w:hint="eastAsia" w:ascii="楷体" w:hAnsi="楷体" w:eastAsia="楷体" w:cs="宋体"/>
                <w:sz w:val="24"/>
                <w:szCs w:val="24"/>
                <w:lang w:eastAsia="zh-CN"/>
              </w:rPr>
              <w:t>n)支持健康和安全委员会的建立和运行；</w:t>
            </w:r>
          </w:p>
          <w:p>
            <w:pPr>
              <w:adjustRightInd w:val="0"/>
              <w:snapToGrid w:val="0"/>
              <w:spacing w:line="300" w:lineRule="exact"/>
              <w:ind w:firstLine="480" w:firstLineChars="200"/>
              <w:rPr>
                <w:rFonts w:ascii="楷体" w:hAnsi="楷体" w:eastAsia="楷体" w:cs="宋体"/>
                <w:sz w:val="24"/>
                <w:szCs w:val="24"/>
              </w:rPr>
            </w:pPr>
            <w:r>
              <w:rPr>
                <w:rFonts w:hint="eastAsia" w:ascii="楷体" w:hAnsi="楷体" w:eastAsia="楷体" w:cs="宋体"/>
                <w:sz w:val="24"/>
                <w:szCs w:val="24"/>
                <w:lang w:eastAsia="zh-CN"/>
              </w:rPr>
              <w:t>与李环晔经理沟通，有较强的管意识，能说出自己对于体系的领导作用和承诺，回答基本正确。</w:t>
            </w:r>
            <w:r>
              <w:rPr>
                <w:rFonts w:hint="eastAsia" w:ascii="楷体" w:hAnsi="楷体" w:eastAsia="楷体" w:cs="宋体"/>
                <w:sz w:val="24"/>
                <w:szCs w:val="24"/>
              </w:rPr>
              <w:t>公司最高管理者组织相关部门制订发展规划、管理承诺、管理方针及管理目标，</w:t>
            </w:r>
            <w:r>
              <w:rPr>
                <w:rFonts w:hint="eastAsia" w:ascii="楷体" w:hAnsi="楷体" w:eastAsia="楷体" w:cs="宋体"/>
                <w:sz w:val="24"/>
                <w:szCs w:val="24"/>
                <w:lang w:eastAsia="zh-CN"/>
              </w:rPr>
              <w:t>始终致力于顾客满意，</w:t>
            </w:r>
            <w:r>
              <w:rPr>
                <w:rFonts w:hint="eastAsia" w:ascii="楷体" w:hAnsi="楷体" w:eastAsia="楷体" w:cs="宋体"/>
                <w:sz w:val="24"/>
                <w:szCs w:val="24"/>
              </w:rPr>
              <w:t>提高员工队伍整体素质。</w:t>
            </w: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管理方针</w:t>
            </w:r>
          </w:p>
        </w:tc>
        <w:tc>
          <w:tcPr>
            <w:tcW w:w="751" w:type="dxa"/>
          </w:tcPr>
          <w:p>
            <w:pPr>
              <w:rPr>
                <w:rFonts w:hint="eastAsia" w:ascii="楷体" w:hAnsi="楷体" w:eastAsia="楷体"/>
                <w:sz w:val="24"/>
                <w:szCs w:val="24"/>
                <w:lang w:eastAsia="zh-CN"/>
              </w:rPr>
            </w:pPr>
            <w:r>
              <w:rPr>
                <w:rFonts w:hint="eastAsia" w:ascii="楷体" w:hAnsi="楷体" w:eastAsia="楷体"/>
                <w:sz w:val="24"/>
                <w:szCs w:val="24"/>
                <w:lang w:eastAsia="zh-CN"/>
              </w:rPr>
              <w:t>O</w:t>
            </w:r>
          </w:p>
          <w:p>
            <w:pPr>
              <w:rPr>
                <w:rFonts w:hint="eastAsia" w:ascii="楷体" w:hAnsi="楷体" w:eastAsia="楷体"/>
                <w:sz w:val="24"/>
                <w:szCs w:val="24"/>
              </w:rPr>
            </w:pPr>
            <w:r>
              <w:rPr>
                <w:rFonts w:hint="eastAsia" w:ascii="楷体" w:hAnsi="楷体" w:eastAsia="楷体"/>
                <w:sz w:val="24"/>
                <w:szCs w:val="24"/>
              </w:rPr>
              <w:t>5.2</w:t>
            </w:r>
          </w:p>
          <w:p>
            <w:pPr>
              <w:rPr>
                <w:rFonts w:hint="eastAsia" w:ascii="楷体" w:hAnsi="楷体" w:eastAsia="楷体"/>
                <w:sz w:val="24"/>
                <w:szCs w:val="24"/>
              </w:rPr>
            </w:pPr>
          </w:p>
        </w:tc>
        <w:tc>
          <w:tcPr>
            <w:tcW w:w="12120" w:type="dxa"/>
          </w:tcPr>
          <w:p>
            <w:pPr>
              <w:spacing w:line="360" w:lineRule="auto"/>
              <w:jc w:val="left"/>
              <w:rPr>
                <w:rFonts w:hint="eastAsia" w:ascii="楷体" w:hAnsi="楷体" w:eastAsia="楷体"/>
                <w:sz w:val="24"/>
                <w:szCs w:val="24"/>
              </w:rPr>
            </w:pPr>
            <w:r>
              <w:rPr>
                <w:rFonts w:hint="eastAsia" w:ascii="楷体" w:hAnsi="楷体" w:eastAsia="楷体"/>
                <w:sz w:val="24"/>
                <w:szCs w:val="24"/>
                <w:lang w:eastAsia="zh-CN"/>
              </w:rPr>
              <w:t>查见《</w:t>
            </w:r>
            <w:r>
              <w:rPr>
                <w:rFonts w:hint="eastAsia" w:ascii="楷体" w:hAnsi="楷体" w:eastAsia="楷体"/>
                <w:sz w:val="24"/>
                <w:szCs w:val="24"/>
              </w:rPr>
              <w:t>管</w:t>
            </w:r>
            <w:r>
              <w:rPr>
                <w:rFonts w:hint="eastAsia" w:ascii="楷体" w:hAnsi="楷体" w:eastAsia="楷体" w:cs="Times New Roman"/>
                <w:sz w:val="24"/>
                <w:szCs w:val="24"/>
                <w:lang w:eastAsia="zh-CN"/>
              </w:rPr>
              <w:t>理手册》HYJJ-QEOM-2021，</w:t>
            </w:r>
            <w:r>
              <w:rPr>
                <w:rFonts w:hint="eastAsia" w:ascii="楷体" w:hAnsi="楷体" w:eastAsia="楷体"/>
                <w:sz w:val="24"/>
                <w:szCs w:val="24"/>
              </w:rPr>
              <w:t>制定了</w:t>
            </w:r>
            <w:r>
              <w:rPr>
                <w:rFonts w:hint="eastAsia" w:ascii="楷体" w:hAnsi="楷体" w:eastAsia="楷体"/>
                <w:sz w:val="24"/>
                <w:szCs w:val="24"/>
                <w:lang w:eastAsia="zh-CN"/>
              </w:rPr>
              <w:t>企业的质量、环境、安全</w:t>
            </w:r>
            <w:r>
              <w:rPr>
                <w:rFonts w:hint="eastAsia" w:ascii="楷体" w:hAnsi="楷体" w:eastAsia="楷体"/>
                <w:sz w:val="24"/>
                <w:szCs w:val="24"/>
              </w:rPr>
              <w:t>管理方针：</w:t>
            </w:r>
          </w:p>
          <w:p>
            <w:pPr>
              <w:rPr>
                <w:rFonts w:hint="eastAsia" w:ascii="楷体" w:hAnsi="楷体" w:eastAsia="楷体" w:cs="Times New Roman"/>
                <w:sz w:val="24"/>
                <w:szCs w:val="24"/>
              </w:rPr>
            </w:pPr>
            <w:r>
              <w:rPr>
                <w:rFonts w:hint="eastAsia" w:ascii="楷体" w:hAnsi="楷体" w:eastAsia="楷体" w:cs="Times New Roman"/>
                <w:sz w:val="24"/>
                <w:szCs w:val="24"/>
                <w:lang w:val="en-US" w:eastAsia="zh-CN"/>
              </w:rPr>
              <w:t>保质保量追求卓越</w:t>
            </w:r>
            <w:r>
              <w:rPr>
                <w:rFonts w:hint="eastAsia" w:ascii="楷体" w:hAnsi="楷体" w:eastAsia="楷体" w:cs="Times New Roman"/>
                <w:sz w:val="24"/>
                <w:szCs w:val="24"/>
              </w:rPr>
              <w:t>，预防污染保护环境；关爱员工健康安全，持续改进追求卓越。</w:t>
            </w:r>
          </w:p>
          <w:p>
            <w:pPr>
              <w:rPr>
                <w:rFonts w:hint="eastAsia" w:ascii="楷体" w:hAnsi="楷体" w:eastAsia="楷体"/>
                <w:sz w:val="24"/>
                <w:szCs w:val="24"/>
              </w:rPr>
            </w:pPr>
            <w:r>
              <w:rPr>
                <w:rFonts w:hint="eastAsia" w:ascii="楷体" w:hAnsi="楷体" w:eastAsia="楷体"/>
                <w:sz w:val="24"/>
                <w:szCs w:val="24"/>
              </w:rPr>
              <w:t>公司的管理方针记录在</w:t>
            </w:r>
            <w:r>
              <w:rPr>
                <w:rFonts w:hint="eastAsia" w:ascii="楷体" w:hAnsi="楷体" w:eastAsia="楷体"/>
                <w:sz w:val="24"/>
                <w:szCs w:val="24"/>
                <w:lang w:eastAsia="zh-CN"/>
              </w:rPr>
              <w:t>《</w:t>
            </w:r>
            <w:r>
              <w:rPr>
                <w:rFonts w:hint="eastAsia" w:ascii="楷体" w:hAnsi="楷体" w:eastAsia="楷体"/>
                <w:sz w:val="24"/>
                <w:szCs w:val="24"/>
              </w:rPr>
              <w:t>管理手册</w:t>
            </w:r>
            <w:r>
              <w:rPr>
                <w:rFonts w:hint="eastAsia" w:ascii="楷体" w:hAnsi="楷体" w:eastAsia="楷体"/>
                <w:sz w:val="24"/>
                <w:szCs w:val="24"/>
                <w:lang w:eastAsia="zh-CN"/>
              </w:rPr>
              <w:t>》</w:t>
            </w:r>
            <w:r>
              <w:rPr>
                <w:rFonts w:hint="eastAsia" w:ascii="楷体" w:hAnsi="楷体" w:eastAsia="楷体" w:cs="Times New Roman"/>
                <w:sz w:val="24"/>
                <w:szCs w:val="24"/>
                <w:lang w:eastAsia="zh-CN"/>
              </w:rPr>
              <w:t>HYJJ-QEOM-2021</w:t>
            </w:r>
            <w:r>
              <w:rPr>
                <w:rFonts w:hint="eastAsia" w:ascii="楷体" w:hAnsi="楷体" w:eastAsia="楷体"/>
                <w:sz w:val="24"/>
                <w:szCs w:val="24"/>
              </w:rPr>
              <w:t>中，并在组织内部得到广泛的宣传、沟通。方针是管理层共同研究决定的，结合了公司</w:t>
            </w:r>
            <w:r>
              <w:rPr>
                <w:rFonts w:hint="eastAsia" w:ascii="楷体" w:hAnsi="楷体" w:eastAsia="楷体"/>
                <w:sz w:val="24"/>
                <w:szCs w:val="24"/>
                <w:lang w:eastAsia="zh-CN"/>
              </w:rPr>
              <w:t>服务</w:t>
            </w:r>
            <w:r>
              <w:rPr>
                <w:rFonts w:hint="eastAsia" w:ascii="楷体" w:hAnsi="楷体" w:eastAsia="楷体"/>
                <w:sz w:val="24"/>
                <w:szCs w:val="24"/>
              </w:rPr>
              <w:t>特点和目前的实际状况。方针初步制定后，由公司员工进行讨论，在公司</w:t>
            </w:r>
            <w:r>
              <w:rPr>
                <w:rFonts w:hint="eastAsia" w:ascii="楷体" w:hAnsi="楷体" w:eastAsia="楷体"/>
                <w:sz w:val="24"/>
                <w:szCs w:val="24"/>
                <w:lang w:eastAsia="zh-CN"/>
              </w:rPr>
              <w:t>管理</w:t>
            </w:r>
            <w:r>
              <w:rPr>
                <w:rFonts w:hint="eastAsia" w:ascii="楷体" w:hAnsi="楷体" w:eastAsia="楷体"/>
                <w:sz w:val="24"/>
                <w:szCs w:val="24"/>
              </w:rPr>
              <w:t>体系文件的发布会上，对管理方针和目标进行了讲解，使全体员工能够理解。同时，</w:t>
            </w:r>
            <w:r>
              <w:rPr>
                <w:rFonts w:hint="eastAsia" w:ascii="楷体" w:hAnsi="楷体" w:eastAsia="楷体"/>
                <w:sz w:val="24"/>
                <w:szCs w:val="24"/>
                <w:lang w:eastAsia="zh-CN"/>
              </w:rPr>
              <w:t>通过贯标培训</w:t>
            </w:r>
            <w:r>
              <w:rPr>
                <w:rFonts w:hint="eastAsia" w:ascii="楷体" w:hAnsi="楷体" w:eastAsia="楷体"/>
                <w:sz w:val="24"/>
                <w:szCs w:val="24"/>
              </w:rPr>
              <w:t>、文件下发，内部理解，实施过程中，始终强调方针的意义的内涵。</w:t>
            </w:r>
          </w:p>
          <w:p>
            <w:pPr>
              <w:rPr>
                <w:rFonts w:hint="eastAsia" w:ascii="楷体" w:hAnsi="楷体" w:eastAsia="楷体"/>
                <w:sz w:val="24"/>
                <w:szCs w:val="24"/>
              </w:rPr>
            </w:pPr>
            <w:r>
              <w:rPr>
                <w:rFonts w:hint="eastAsia" w:ascii="楷体" w:hAnsi="楷体" w:eastAsia="楷体"/>
                <w:sz w:val="24"/>
                <w:szCs w:val="24"/>
                <w:lang w:eastAsia="zh-CN"/>
              </w:rPr>
              <w:t>管理方针</w:t>
            </w:r>
            <w:r>
              <w:rPr>
                <w:rFonts w:hint="eastAsia" w:ascii="楷体" w:hAnsi="楷体" w:eastAsia="楷体"/>
                <w:sz w:val="24"/>
                <w:szCs w:val="24"/>
              </w:rPr>
              <w:t>通过</w:t>
            </w:r>
            <w:r>
              <w:rPr>
                <w:rFonts w:hint="eastAsia" w:ascii="楷体" w:hAnsi="楷体" w:eastAsia="楷体"/>
                <w:sz w:val="24"/>
                <w:szCs w:val="24"/>
                <w:lang w:eastAsia="zh-CN"/>
              </w:rPr>
              <w:t>签订安全协议</w:t>
            </w:r>
            <w:r>
              <w:rPr>
                <w:rFonts w:hint="eastAsia" w:ascii="楷体" w:hAnsi="楷体" w:eastAsia="楷体"/>
                <w:sz w:val="24"/>
                <w:szCs w:val="24"/>
              </w:rPr>
              <w:t>、</w:t>
            </w:r>
            <w:r>
              <w:rPr>
                <w:rFonts w:hint="eastAsia" w:ascii="楷体" w:hAnsi="楷体" w:eastAsia="楷体"/>
                <w:sz w:val="24"/>
                <w:szCs w:val="24"/>
                <w:lang w:eastAsia="zh-CN"/>
              </w:rPr>
              <w:t>相关方</w:t>
            </w:r>
            <w:r>
              <w:rPr>
                <w:rFonts w:hint="eastAsia" w:ascii="楷体" w:hAnsi="楷体" w:eastAsia="楷体"/>
                <w:sz w:val="24"/>
                <w:szCs w:val="24"/>
              </w:rPr>
              <w:t>告知、合同等方式向相关方提供。</w:t>
            </w:r>
          </w:p>
          <w:p>
            <w:pPr>
              <w:rPr>
                <w:rFonts w:hint="eastAsia" w:ascii="楷体" w:hAnsi="楷体" w:eastAsia="楷体"/>
                <w:sz w:val="24"/>
                <w:szCs w:val="24"/>
              </w:rPr>
            </w:pPr>
            <w:r>
              <w:rPr>
                <w:rFonts w:hint="eastAsia" w:ascii="楷体" w:hAnsi="楷体" w:eastAsia="楷体"/>
                <w:sz w:val="24"/>
                <w:szCs w:val="24"/>
              </w:rPr>
              <w:t>经202</w:t>
            </w:r>
            <w:r>
              <w:rPr>
                <w:rFonts w:hint="eastAsia" w:ascii="楷体" w:hAnsi="楷体" w:eastAsia="楷体"/>
                <w:sz w:val="24"/>
                <w:szCs w:val="24"/>
                <w:lang w:val="en-US" w:eastAsia="zh-CN"/>
              </w:rPr>
              <w:t>2</w:t>
            </w:r>
            <w:r>
              <w:rPr>
                <w:rFonts w:hint="eastAsia" w:ascii="楷体" w:hAnsi="楷体" w:eastAsia="楷体"/>
                <w:sz w:val="24"/>
                <w:szCs w:val="24"/>
              </w:rPr>
              <w:t>年1月</w:t>
            </w:r>
            <w:r>
              <w:rPr>
                <w:rFonts w:hint="eastAsia" w:ascii="楷体" w:hAnsi="楷体" w:eastAsia="楷体"/>
                <w:sz w:val="24"/>
                <w:szCs w:val="24"/>
                <w:lang w:val="en-US" w:eastAsia="zh-CN"/>
              </w:rPr>
              <w:t>25</w:t>
            </w:r>
            <w:r>
              <w:rPr>
                <w:rFonts w:hint="eastAsia" w:ascii="楷体" w:hAnsi="楷体" w:eastAsia="楷体"/>
                <w:sz w:val="24"/>
                <w:szCs w:val="24"/>
              </w:rPr>
              <w:t>日</w:t>
            </w:r>
            <w:r>
              <w:rPr>
                <w:rFonts w:hint="eastAsia" w:ascii="楷体" w:hAnsi="楷体" w:eastAsia="楷体"/>
                <w:sz w:val="24"/>
                <w:szCs w:val="24"/>
                <w:lang w:eastAsia="zh-CN"/>
              </w:rPr>
              <w:t>召开</w:t>
            </w:r>
            <w:r>
              <w:rPr>
                <w:rFonts w:hint="eastAsia" w:ascii="楷体" w:hAnsi="楷体" w:eastAsia="楷体"/>
                <w:sz w:val="24"/>
                <w:szCs w:val="24"/>
              </w:rPr>
              <w:t>的管理评审</w:t>
            </w:r>
            <w:r>
              <w:rPr>
                <w:rFonts w:hint="eastAsia" w:ascii="楷体" w:hAnsi="楷体" w:eastAsia="楷体"/>
                <w:sz w:val="24"/>
                <w:szCs w:val="24"/>
                <w:lang w:eastAsia="zh-CN"/>
              </w:rPr>
              <w:t>会议</w:t>
            </w:r>
            <w:r>
              <w:rPr>
                <w:rFonts w:hint="eastAsia" w:ascii="楷体" w:hAnsi="楷体" w:eastAsia="楷体"/>
                <w:sz w:val="24"/>
                <w:szCs w:val="24"/>
              </w:rPr>
              <w:t>，管理方针适应其宗旨和环境并支持其长远战略方向；为制定管理目标提供框架；包括满足适用要求的承诺和持续改进质量管理体系的承诺。方针基本能够满足标准的要求。</w:t>
            </w:r>
          </w:p>
          <w:p>
            <w:pPr>
              <w:rPr>
                <w:rFonts w:hint="eastAsia" w:ascii="楷体" w:hAnsi="楷体" w:eastAsia="楷体"/>
                <w:sz w:val="24"/>
                <w:szCs w:val="24"/>
              </w:rPr>
            </w:pPr>
            <w:r>
              <w:rPr>
                <w:rFonts w:hint="eastAsia" w:ascii="楷体" w:hAnsi="楷体" w:eastAsia="楷体"/>
                <w:sz w:val="24"/>
                <w:szCs w:val="24"/>
              </w:rPr>
              <w:t>基本符合要求。</w:t>
            </w: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组织的岗位、职责和权限</w:t>
            </w:r>
          </w:p>
        </w:tc>
        <w:tc>
          <w:tcPr>
            <w:tcW w:w="75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O</w:t>
            </w:r>
          </w:p>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5.3</w:t>
            </w:r>
          </w:p>
          <w:p>
            <w:pPr>
              <w:adjustRightInd w:val="0"/>
              <w:snapToGrid w:val="0"/>
              <w:spacing w:line="300" w:lineRule="exact"/>
              <w:rPr>
                <w:rFonts w:ascii="楷体" w:hAnsi="楷体" w:eastAsia="楷体" w:cs="宋体"/>
                <w:sz w:val="24"/>
                <w:szCs w:val="24"/>
              </w:rPr>
            </w:pPr>
          </w:p>
        </w:tc>
        <w:tc>
          <w:tcPr>
            <w:tcW w:w="12120" w:type="dxa"/>
          </w:tcPr>
          <w:p>
            <w:pPr>
              <w:adjustRightInd w:val="0"/>
              <w:snapToGrid w:val="0"/>
              <w:spacing w:line="300" w:lineRule="exact"/>
              <w:ind w:firstLine="240" w:firstLineChars="100"/>
              <w:rPr>
                <w:rFonts w:ascii="楷体" w:hAnsi="楷体" w:eastAsia="楷体" w:cs="宋体"/>
                <w:sz w:val="24"/>
                <w:szCs w:val="24"/>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rPr>
              <w:t>为了有效的实施质量、环境、职业健康安全管理，本公司确定了公司结构：</w:t>
            </w:r>
          </w:p>
          <w:p>
            <w:pPr>
              <w:adjustRightInd w:val="0"/>
              <w:snapToGrid w:val="0"/>
              <w:spacing w:line="300" w:lineRule="exact"/>
              <w:ind w:firstLine="240" w:firstLineChars="100"/>
              <w:rPr>
                <w:rFonts w:hint="eastAsia" w:ascii="楷体" w:hAnsi="楷体" w:eastAsia="楷体" w:cs="宋体"/>
                <w:sz w:val="24"/>
                <w:szCs w:val="24"/>
              </w:rPr>
            </w:pPr>
            <w:r>
              <w:rPr>
                <w:rFonts w:hint="eastAsia" w:ascii="楷体" w:hAnsi="楷体" w:eastAsia="楷体" w:cs="宋体"/>
                <w:sz w:val="24"/>
                <w:szCs w:val="24"/>
              </w:rPr>
              <w:t>——公司总经理、体系负责人为公司的管理层。</w:t>
            </w:r>
          </w:p>
          <w:p>
            <w:pPr>
              <w:adjustRightInd w:val="0"/>
              <w:snapToGrid w:val="0"/>
              <w:spacing w:line="300" w:lineRule="exact"/>
              <w:ind w:firstLine="240" w:firstLineChars="100"/>
              <w:rPr>
                <w:rFonts w:hint="eastAsia" w:ascii="楷体" w:hAnsi="楷体" w:eastAsia="楷体" w:cs="宋体"/>
                <w:sz w:val="24"/>
                <w:szCs w:val="24"/>
              </w:rPr>
            </w:pPr>
            <w:r>
              <w:rPr>
                <w:rFonts w:hint="eastAsia" w:ascii="楷体" w:hAnsi="楷体" w:eastAsia="楷体" w:cs="宋体"/>
                <w:sz w:val="24"/>
                <w:szCs w:val="24"/>
              </w:rPr>
              <w:t>——公司设置管理部门如下：</w:t>
            </w:r>
            <w:r>
              <w:rPr>
                <w:rFonts w:hint="eastAsia" w:ascii="楷体" w:hAnsi="楷体" w:eastAsia="楷体" w:cs="宋体"/>
                <w:sz w:val="24"/>
                <w:szCs w:val="24"/>
                <w:lang w:eastAsia="zh-CN"/>
              </w:rPr>
              <w:t>综合部</w:t>
            </w:r>
            <w:r>
              <w:rPr>
                <w:rFonts w:hint="eastAsia" w:ascii="楷体" w:hAnsi="楷体" w:eastAsia="楷体" w:cs="宋体"/>
                <w:sz w:val="24"/>
                <w:szCs w:val="24"/>
              </w:rPr>
              <w:t>、</w:t>
            </w:r>
            <w:r>
              <w:rPr>
                <w:rFonts w:hint="eastAsia" w:ascii="楷体" w:hAnsi="楷体" w:eastAsia="楷体" w:cs="宋体"/>
                <w:sz w:val="24"/>
                <w:szCs w:val="24"/>
                <w:lang w:eastAsia="zh-CN"/>
              </w:rPr>
              <w:t>生技</w:t>
            </w:r>
            <w:r>
              <w:rPr>
                <w:rFonts w:hint="eastAsia" w:ascii="楷体" w:hAnsi="楷体" w:eastAsia="楷体" w:cs="宋体"/>
                <w:sz w:val="24"/>
                <w:szCs w:val="24"/>
              </w:rPr>
              <w:t>部。</w:t>
            </w:r>
          </w:p>
          <w:p>
            <w:pPr>
              <w:adjustRightInd w:val="0"/>
              <w:snapToGrid w:val="0"/>
              <w:spacing w:line="300" w:lineRule="exact"/>
              <w:ind w:firstLine="240" w:firstLineChars="100"/>
              <w:rPr>
                <w:rFonts w:hint="eastAsia" w:ascii="楷体" w:hAnsi="楷体" w:eastAsia="楷体" w:cs="宋体"/>
                <w:sz w:val="24"/>
                <w:szCs w:val="24"/>
                <w:lang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eastAsia="zh-CN"/>
              </w:rPr>
              <w:t>《管理手册》</w:t>
            </w:r>
            <w:r>
              <w:rPr>
                <w:rFonts w:hint="eastAsia" w:ascii="楷体" w:hAnsi="楷体" w:eastAsia="楷体" w:cs="宋体"/>
                <w:sz w:val="24"/>
                <w:szCs w:val="24"/>
              </w:rPr>
              <w:t>规定了各级各岗位人员职责、权限和相互关系，并在公司内对各级员工进行了必要的传达；</w:t>
            </w:r>
            <w:r>
              <w:rPr>
                <w:rFonts w:hint="eastAsia" w:ascii="楷体" w:hAnsi="楷体" w:eastAsia="楷体" w:cs="宋体"/>
                <w:sz w:val="24"/>
                <w:szCs w:val="24"/>
                <w:lang w:eastAsia="zh-CN"/>
              </w:rPr>
              <w:t>制定了《岗位人员任职要求》，</w:t>
            </w:r>
            <w:r>
              <w:rPr>
                <w:rFonts w:hint="eastAsia" w:ascii="楷体" w:hAnsi="楷体" w:eastAsia="楷体" w:cs="宋体"/>
                <w:sz w:val="24"/>
                <w:szCs w:val="24"/>
              </w:rPr>
              <w:t>规定了各岗位职责及权限，对本公司各主要岗位职责权限进行了确定</w:t>
            </w:r>
            <w:r>
              <w:rPr>
                <w:rFonts w:hint="eastAsia" w:ascii="楷体" w:hAnsi="楷体" w:eastAsia="楷体" w:cs="宋体"/>
                <w:sz w:val="24"/>
                <w:szCs w:val="24"/>
                <w:lang w:eastAsia="zh-CN"/>
              </w:rPr>
              <w:t>。</w:t>
            </w:r>
          </w:p>
          <w:p>
            <w:pPr>
              <w:adjustRightInd w:val="0"/>
              <w:snapToGrid w:val="0"/>
              <w:spacing w:line="300" w:lineRule="exact"/>
              <w:ind w:firstLine="240" w:firstLineChars="100"/>
              <w:rPr>
                <w:rFonts w:ascii="楷体" w:hAnsi="楷体" w:eastAsia="楷体" w:cs="宋体"/>
                <w:sz w:val="24"/>
                <w:szCs w:val="24"/>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eastAsia="zh-CN"/>
              </w:rPr>
              <w:t>具体</w:t>
            </w:r>
            <w:r>
              <w:rPr>
                <w:rFonts w:hint="eastAsia" w:ascii="楷体" w:hAnsi="楷体" w:eastAsia="楷体" w:cs="宋体"/>
                <w:sz w:val="24"/>
                <w:szCs w:val="24"/>
              </w:rPr>
              <w:t>岗位职责及权限见</w:t>
            </w:r>
            <w:r>
              <w:rPr>
                <w:rFonts w:hint="eastAsia" w:ascii="楷体" w:hAnsi="楷体" w:eastAsia="楷体" w:cs="宋体"/>
                <w:sz w:val="24"/>
                <w:szCs w:val="24"/>
                <w:lang w:eastAsia="zh-CN"/>
              </w:rPr>
              <w:t>各部门审核记录</w:t>
            </w:r>
            <w:r>
              <w:rPr>
                <w:rFonts w:hint="eastAsia" w:ascii="楷体" w:hAnsi="楷体" w:eastAsia="楷体" w:cs="宋体"/>
                <w:sz w:val="24"/>
                <w:szCs w:val="24"/>
              </w:rPr>
              <w:t>。</w:t>
            </w: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38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员工协商与沟通</w:t>
            </w:r>
          </w:p>
        </w:tc>
        <w:tc>
          <w:tcPr>
            <w:tcW w:w="751" w:type="dxa"/>
          </w:tcPr>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O5.4</w:t>
            </w:r>
          </w:p>
        </w:tc>
        <w:tc>
          <w:tcPr>
            <w:tcW w:w="12120" w:type="dxa"/>
          </w:tcPr>
          <w:p>
            <w:pPr>
              <w:pStyle w:val="18"/>
              <w:rPr>
                <w:rFonts w:hint="eastAsia" w:ascii="楷体" w:hAnsi="楷体" w:eastAsia="楷体" w:cs="宋体"/>
                <w:kern w:val="2"/>
                <w:sz w:val="24"/>
                <w:szCs w:val="24"/>
                <w:lang w:val="en-US" w:eastAsia="zh-CN" w:bidi="ar-SA"/>
              </w:rPr>
            </w:pPr>
            <w:r>
              <w:rPr>
                <w:rFonts w:hint="eastAsia" w:ascii="楷体" w:hAnsi="楷体" w:eastAsia="楷体" w:cs="宋体"/>
                <w:kern w:val="2"/>
                <w:sz w:val="24"/>
                <w:szCs w:val="24"/>
                <w:lang w:val="en-US" w:eastAsia="zh-CN" w:bidi="ar-SA"/>
              </w:rPr>
              <w:t>经全体员工大会选举，并公司任命高韦同志为公司安全事务代表，代表全体员工直接向总经理反映职业健康安全方面的相关情况，反映员工的意见。负责内部员工职业健康安全信息的交流与沟通，参与公司管理方针和管理目标的制定，参与安全事故的处理，对事件的调查、处理，职工劳动防护的改善事宜进行协商交流；参与职业安全健康方针、目标、指标、管理方案的制定工作，提出合理化建议。参与环境因素、危险源的辨识。提供了劳保用品放放记录，员工的劳保用品得到合理配备并及时发放；每年为一线岗位人员体检一次；员工保险得到按时交纳，提供了完税证明。现有的沟通渠道和方法能满足要求。</w:t>
            </w:r>
          </w:p>
          <w:p>
            <w:pPr>
              <w:adjustRightInd w:val="0"/>
              <w:snapToGrid w:val="0"/>
              <w:spacing w:line="300" w:lineRule="exact"/>
              <w:ind w:firstLine="240" w:firstLineChars="100"/>
              <w:rPr>
                <w:rFonts w:hint="eastAsia" w:ascii="楷体" w:hAnsi="楷体" w:eastAsia="楷体" w:cs="宋体"/>
                <w:sz w:val="24"/>
                <w:szCs w:val="24"/>
                <w:lang w:val="en-US" w:eastAsia="zh-CN"/>
              </w:rPr>
            </w:pPr>
            <w:r>
              <w:rPr>
                <w:rFonts w:hint="eastAsia" w:ascii="楷体" w:hAnsi="楷体" w:eastAsia="楷体" w:cs="宋体"/>
                <w:kern w:val="2"/>
                <w:sz w:val="24"/>
                <w:szCs w:val="24"/>
                <w:lang w:val="en-US" w:eastAsia="zh-CN" w:bidi="ar-SA"/>
              </w:rPr>
              <w:t>审核中未发现因沟通不利不及时而造成（影响）某项工作不能正常运行的情况。</w:t>
            </w:r>
          </w:p>
        </w:tc>
        <w:tc>
          <w:tcPr>
            <w:tcW w:w="457" w:type="dxa"/>
          </w:tcPr>
          <w:p>
            <w:pPr>
              <w:adjustRightInd w:val="0"/>
              <w:snapToGrid w:val="0"/>
              <w:spacing w:line="300" w:lineRule="exact"/>
              <w:rPr>
                <w:rFonts w:hint="eastAsia" w:ascii="楷体" w:hAnsi="楷体" w:eastAsia="楷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资源</w:t>
            </w:r>
          </w:p>
        </w:tc>
        <w:tc>
          <w:tcPr>
            <w:tcW w:w="75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O</w:t>
            </w:r>
          </w:p>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7.1</w:t>
            </w:r>
          </w:p>
        </w:tc>
        <w:tc>
          <w:tcPr>
            <w:tcW w:w="12120" w:type="dxa"/>
          </w:tcPr>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公司确定并提供为建立、实施、保持和持续改进职业健康安全管理体系所需的资源。</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人力资源：</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1）目前职工人数43人。有本公司的销售网络和稳定的市场。与李经理沟通，人力招聘、新员工培训由综合部负责，人员比较稳定。</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2）基础设施：现场巡视，企业位于安平县纬三路2号，车间厂房14671平方米，车间配置了6条家具生产线，综合办办公室面积400平方米，整体环境良好，干净整洁。</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现场查看办公设施主要是电脑、打印机、开票机、电话等，满足工作需要。办公区配有灭火器和消防栓，现场查看均在有效期内。</w:t>
            </w:r>
          </w:p>
          <w:p>
            <w:pPr>
              <w:pStyle w:val="5"/>
              <w:ind w:firstLine="480"/>
              <w:jc w:val="both"/>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车间有6条生产线，有消防系统，烟感、喷淋、自动报警装置，有除尘环保设备，粉尘清扫机，工人配置了劳保服和防护手套，提供了《职业病防护用品发放/更换/维修记录》，车间各工种：下料工、封边工、组装工、分拣工、加工中心操作工、包装工，每月定期发放工作服，防尘口罩，耳塞。</w:t>
            </w:r>
          </w:p>
          <w:p>
            <w:pPr>
              <w:pStyle w:val="5"/>
              <w:ind w:firstLine="480"/>
              <w:jc w:val="both"/>
              <w:rPr>
                <w:rFonts w:hint="default"/>
                <w:lang w:val="en-US" w:eastAsia="zh-CN"/>
              </w:rPr>
            </w:pPr>
            <w:r>
              <w:rPr>
                <w:rFonts w:hint="eastAsia" w:ascii="楷体" w:hAnsi="楷体" w:eastAsia="楷体" w:cs="宋体"/>
                <w:sz w:val="24"/>
                <w:szCs w:val="24"/>
                <w:lang w:val="en-US" w:eastAsia="zh-CN"/>
              </w:rPr>
              <w:t>每月为车间和办公室人员均发放了测温仪、口罩、手套、和消杀用品。</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3）水电供应由综合部负责，各部门按《节水节电管理办法》的规定使用水、电等能源资源。</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各部门负责保持各自部门的环境卫生和安全控制。各种废弃物的处理按《废弃物管理办法》执行，综合部负责监督检查。每个员工都有责任创造和谐、舒适的工作环境。</w:t>
            </w:r>
          </w:p>
          <w:p>
            <w:pPr>
              <w:adjustRightInd w:val="0"/>
              <w:snapToGrid w:val="0"/>
              <w:spacing w:line="300" w:lineRule="exact"/>
              <w:ind w:firstLine="480" w:firstLineChars="200"/>
              <w:rPr>
                <w:rFonts w:hint="eastAsia" w:ascii="楷体" w:hAnsi="楷体" w:eastAsia="楷体" w:cs="宋体"/>
                <w:sz w:val="24"/>
                <w:szCs w:val="24"/>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此外，创造无歧视、和谐稳定、无对抗的工作氛围，采取措施舒缓心理压力、预防过度疲劳、保护个人情感也是过程运行环境管理的重要组成部分。</w:t>
            </w: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8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管理评审</w:t>
            </w:r>
          </w:p>
        </w:tc>
        <w:tc>
          <w:tcPr>
            <w:tcW w:w="751" w:type="dxa"/>
          </w:tcPr>
          <w:p>
            <w:pPr>
              <w:adjustRightInd w:val="0"/>
              <w:snapToGrid w:val="0"/>
              <w:spacing w:line="300" w:lineRule="exact"/>
              <w:rPr>
                <w:rFonts w:hint="eastAsia"/>
                <w:sz w:val="24"/>
                <w:szCs w:val="24"/>
                <w:lang w:val="en-US" w:eastAsia="zh-CN"/>
              </w:rPr>
            </w:pPr>
            <w:r>
              <w:rPr>
                <w:rFonts w:hint="eastAsia"/>
                <w:sz w:val="24"/>
                <w:szCs w:val="24"/>
                <w:lang w:val="en-US" w:eastAsia="zh-CN"/>
              </w:rPr>
              <w:t>O</w:t>
            </w:r>
          </w:p>
          <w:p>
            <w:pPr>
              <w:pStyle w:val="7"/>
              <w:rPr>
                <w:rFonts w:hint="default"/>
                <w:sz w:val="24"/>
                <w:szCs w:val="24"/>
                <w:lang w:val="en-US"/>
              </w:rPr>
            </w:pPr>
            <w:r>
              <w:rPr>
                <w:rFonts w:hint="eastAsia" w:cs="Times New Roman"/>
                <w:sz w:val="24"/>
                <w:szCs w:val="24"/>
                <w:lang w:val="en-US" w:eastAsia="zh-CN"/>
              </w:rPr>
              <w:t>9.3</w:t>
            </w:r>
          </w:p>
        </w:tc>
        <w:tc>
          <w:tcPr>
            <w:tcW w:w="12120" w:type="dxa"/>
          </w:tcPr>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执行《管理评审程序》，按程序要求进行管理评审，每年至少一次，总经理主持。</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查最近一次管理评审，提供了管理评审计划、会议签到表、质量环境职业健康安全管理体系运行报告、各部门的汇报材料、管理评审报告、改进计划</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1.查《管理评审计划》，明确了评审目的、地点、主持人（总经理和管理者代表）、参加评审的人员、评审的内容和各部门需准备的评审材料。</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2.实际执行：于2022年1月25日在公司会议室由总经理和管代召开主持了管理评审。</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提供了管理评审会议记录、各部门领导所做的本部门体系运行工作汇报。现场询问高韦，参加了管理评审会议。</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kern w:val="2"/>
                <w:sz w:val="24"/>
                <w:szCs w:val="24"/>
                <w:lang w:val="en-US" w:eastAsia="zh-CN" w:bidi="ar-SA"/>
              </w:rPr>
              <w:t xml:space="preserve">3.查《管理评审报告》，评审结论： </w:t>
            </w:r>
            <w:r>
              <w:rPr>
                <w:rFonts w:hint="eastAsia" w:ascii="楷体" w:hAnsi="楷体" w:eastAsia="楷体" w:cs="宋体"/>
                <w:sz w:val="24"/>
                <w:szCs w:val="24"/>
                <w:lang w:val="en-US" w:eastAsia="zh-CN"/>
              </w:rPr>
              <w:t>公司已按照GB/T19001-2016、GB/T24001-2016、GB/T45001-2020标准建立了符合本公司实际的管理体系，体系是持续适宜的、充分的和有效的。基本能够得到实施和保持。方针、目标和指标是适应的，正在通过体系的运行不断实现。</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通过本次管理评审，确保了质量、环境和职业健康安全方针、目标和管理体系持续的适宜性、充分性和有效性，达到了持续改进的目的，为下一步外审工作奠定了良好的基础。</w:t>
            </w:r>
          </w:p>
          <w:p>
            <w:pPr>
              <w:adjustRightInd w:val="0"/>
              <w:snapToGrid w:val="0"/>
              <w:spacing w:line="300" w:lineRule="exact"/>
              <w:ind w:firstLine="480" w:firstLineChars="200"/>
              <w:rPr>
                <w:rFonts w:hint="eastAsia" w:ascii="楷体" w:hAnsi="楷体" w:eastAsia="楷体" w:cs="宋体"/>
                <w:kern w:val="2"/>
                <w:sz w:val="24"/>
                <w:szCs w:val="24"/>
                <w:lang w:val="en-US" w:eastAsia="zh-CN" w:bidi="ar-SA"/>
              </w:rPr>
            </w:pPr>
            <w:r>
              <w:rPr>
                <w:rFonts w:hint="eastAsia" w:ascii="楷体" w:hAnsi="楷体" w:eastAsia="楷体" w:cs="宋体"/>
                <w:kern w:val="2"/>
                <w:sz w:val="24"/>
                <w:szCs w:val="24"/>
                <w:lang w:val="en-US" w:eastAsia="zh-CN" w:bidi="ar-SA"/>
              </w:rPr>
              <w:t>4.管理评审改进内容及要求：</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1.为解决监管力度不够的情况，要求综合部今后每季度至少组织一次对体系运行情况的监督检查；</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2.综合部继续抓好对员工的质量、环境、职业健康安全意识教育。</w:t>
            </w:r>
          </w:p>
          <w:p>
            <w:pPr>
              <w:adjustRightInd w:val="0"/>
              <w:snapToGrid w:val="0"/>
              <w:spacing w:line="300" w:lineRule="exact"/>
              <w:ind w:firstLine="480" w:firstLineChars="200"/>
              <w:rPr>
                <w:rFonts w:hint="eastAsia" w:ascii="楷体" w:hAnsi="楷体" w:eastAsia="楷体" w:cs="宋体"/>
                <w:sz w:val="24"/>
                <w:szCs w:val="24"/>
              </w:rPr>
            </w:pPr>
            <w:r>
              <w:rPr>
                <w:rFonts w:hint="eastAsia" w:ascii="楷体" w:hAnsi="楷体" w:eastAsia="楷体" w:cs="宋体"/>
                <w:sz w:val="24"/>
                <w:szCs w:val="24"/>
                <w:lang w:val="en-US" w:eastAsia="zh-CN"/>
              </w:rPr>
              <w:t>针对管理评审提出的改进意见，制定了《管理评审决议及改进措施》，组织了培训，管理评审提出的改进措施已培训完成，目前已实施完成。</w:t>
            </w:r>
          </w:p>
        </w:tc>
        <w:tc>
          <w:tcPr>
            <w:tcW w:w="457" w:type="dxa"/>
          </w:tcPr>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381"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持续改进</w:t>
            </w:r>
          </w:p>
        </w:tc>
        <w:tc>
          <w:tcPr>
            <w:tcW w:w="75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O</w:t>
            </w:r>
          </w:p>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rPr>
              <w:t>10.1</w:t>
            </w:r>
          </w:p>
          <w:p>
            <w:pPr>
              <w:adjustRightInd w:val="0"/>
              <w:snapToGrid w:val="0"/>
              <w:spacing w:line="300" w:lineRule="exact"/>
              <w:rPr>
                <w:rFonts w:ascii="楷体" w:hAnsi="楷体" w:eastAsia="楷体" w:cs="宋体"/>
                <w:sz w:val="24"/>
                <w:szCs w:val="24"/>
              </w:rPr>
            </w:pPr>
          </w:p>
        </w:tc>
        <w:tc>
          <w:tcPr>
            <w:tcW w:w="12120" w:type="dxa"/>
            <w:vAlign w:val="center"/>
          </w:tcPr>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企业通过建立管理方针、管理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企业充分识别和评价存在的改进机会，以持续满足顾客和相关方要求改进的方法措施包括：</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1）引导创新、修改和改进现有过程或实施新过程的突破项目；</w:t>
            </w:r>
          </w:p>
          <w:p>
            <w:pPr>
              <w:adjustRightInd w:val="0"/>
              <w:snapToGrid w:val="0"/>
              <w:spacing w:line="300" w:lineRule="exact"/>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2）在现有过程中开展渐进、持续的改进活动；</w:t>
            </w:r>
          </w:p>
          <w:p>
            <w:pPr>
              <w:adjustRightInd w:val="0"/>
              <w:snapToGrid w:val="0"/>
              <w:spacing w:line="300" w:lineRule="exact"/>
              <w:ind w:firstLine="480" w:firstLineChars="200"/>
              <w:rPr>
                <w:rFonts w:hint="eastAsia" w:ascii="楷体" w:hAnsi="楷体" w:eastAsia="楷体" w:cs="宋体"/>
                <w:sz w:val="24"/>
                <w:szCs w:val="24"/>
              </w:rPr>
            </w:pPr>
            <w:r>
              <w:rPr>
                <w:rFonts w:hint="eastAsia" w:ascii="楷体" w:hAnsi="楷体" w:eastAsia="楷体" w:cs="宋体"/>
                <w:sz w:val="24"/>
                <w:szCs w:val="24"/>
                <w:lang w:val="en-US" w:eastAsia="zh-CN"/>
              </w:rPr>
              <w:t>3）纠正所存在不符合的原因等。</w:t>
            </w:r>
          </w:p>
        </w:tc>
        <w:tc>
          <w:tcPr>
            <w:tcW w:w="457" w:type="dxa"/>
          </w:tcPr>
          <w:p>
            <w:pPr>
              <w:adjustRightInd w:val="0"/>
              <w:snapToGrid w:val="0"/>
              <w:spacing w:line="300" w:lineRule="exact"/>
              <w:rPr>
                <w:rFonts w:ascii="楷体" w:hAnsi="楷体" w:eastAsia="楷体" w:cs="宋体"/>
                <w:sz w:val="24"/>
                <w:szCs w:val="24"/>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38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预防和纠正措施</w:t>
            </w:r>
          </w:p>
        </w:tc>
        <w:tc>
          <w:tcPr>
            <w:tcW w:w="751" w:type="dxa"/>
          </w:tcPr>
          <w:p>
            <w:pPr>
              <w:adjustRightInd w:val="0"/>
              <w:snapToGrid w:val="0"/>
              <w:spacing w:line="300" w:lineRule="exact"/>
              <w:rPr>
                <w:rFonts w:hint="eastAsia" w:ascii="楷体" w:hAnsi="楷体" w:eastAsia="楷体" w:cs="宋体"/>
                <w:sz w:val="24"/>
                <w:szCs w:val="24"/>
                <w:lang w:eastAsia="zh-CN"/>
              </w:rPr>
            </w:pPr>
            <w:r>
              <w:rPr>
                <w:rFonts w:hint="eastAsia" w:ascii="楷体" w:hAnsi="楷体" w:eastAsia="楷体" w:cs="宋体"/>
                <w:sz w:val="24"/>
                <w:szCs w:val="24"/>
                <w:lang w:eastAsia="zh-CN"/>
              </w:rPr>
              <w:t>O</w:t>
            </w:r>
          </w:p>
          <w:p>
            <w:pPr>
              <w:adjustRightInd w:val="0"/>
              <w:snapToGrid w:val="0"/>
              <w:spacing w:line="300" w:lineRule="exact"/>
              <w:rPr>
                <w:rFonts w:hint="eastAsia" w:ascii="楷体" w:hAnsi="楷体" w:eastAsia="楷体" w:cs="宋体"/>
                <w:sz w:val="24"/>
                <w:szCs w:val="24"/>
              </w:rPr>
            </w:pPr>
            <w:r>
              <w:rPr>
                <w:rFonts w:hint="eastAsia" w:ascii="楷体" w:hAnsi="楷体" w:eastAsia="楷体" w:cs="宋体"/>
                <w:sz w:val="24"/>
                <w:szCs w:val="24"/>
              </w:rPr>
              <w:t>10.3</w:t>
            </w:r>
          </w:p>
        </w:tc>
        <w:tc>
          <w:tcPr>
            <w:tcW w:w="12120" w:type="dxa"/>
            <w:vAlign w:val="center"/>
          </w:tcPr>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企业管理体系按策划的管理手册、程序文件等文件化信息要求实施、运行，并通过内审、管理评审、分析和评价、纠正和纠正措施、管理方针和管理目标等有关信息来源来实现对管理体系的持续改进，同时通过日常运行中发现的问题及时调整解决，以达到持续改进管理体系的目的，以提升职业健康安全管理体系绩效。</w:t>
            </w:r>
          </w:p>
          <w:p>
            <w:pPr>
              <w:adjustRightInd w:val="0"/>
              <w:snapToGrid w:val="0"/>
              <w:spacing w:line="300" w:lineRule="exact"/>
              <w:ind w:firstLine="480" w:firstLineChars="200"/>
              <w:rPr>
                <w:rFonts w:hint="eastAsia" w:ascii="楷体" w:hAnsi="楷体" w:eastAsia="楷体" w:cs="宋体"/>
                <w:sz w:val="24"/>
                <w:szCs w:val="24"/>
              </w:rPr>
            </w:pPr>
            <w:r>
              <w:rPr>
                <w:rFonts w:hint="eastAsia" w:ascii="楷体" w:hAnsi="楷体" w:eastAsia="楷体" w:cs="宋体"/>
                <w:sz w:val="24"/>
                <w:szCs w:val="24"/>
                <w:lang w:val="en-US" w:eastAsia="zh-CN"/>
              </w:rPr>
              <w:sym w:font="Wingdings 2" w:char="F098"/>
            </w:r>
            <w:r>
              <w:rPr>
                <w:rFonts w:hint="eastAsia" w:ascii="楷体" w:hAnsi="楷体" w:eastAsia="楷体" w:cs="宋体"/>
                <w:sz w:val="24"/>
                <w:szCs w:val="24"/>
                <w:lang w:val="en-US" w:eastAsia="zh-CN"/>
              </w:rPr>
              <w:t>日常监视和测量过程中发现的不合格、不符合要求相关责任部门及时制定相应的改进、纠正和纠正措施，以实现管理体系的持续改进。</w:t>
            </w:r>
          </w:p>
        </w:tc>
        <w:tc>
          <w:tcPr>
            <w:tcW w:w="457" w:type="dxa"/>
          </w:tcPr>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381" w:type="dxa"/>
            <w:vAlign w:val="center"/>
          </w:tcPr>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范围的确认、资质的确认、法律法规执行情况、质量抽查及顾客投诉情况、一阶段不符合验证</w:t>
            </w:r>
          </w:p>
        </w:tc>
        <w:tc>
          <w:tcPr>
            <w:tcW w:w="751" w:type="dxa"/>
            <w:vAlign w:val="center"/>
          </w:tcPr>
          <w:p>
            <w:pPr>
              <w:adjustRightInd w:val="0"/>
              <w:snapToGrid w:val="0"/>
              <w:spacing w:line="300" w:lineRule="exact"/>
              <w:rPr>
                <w:rFonts w:hint="eastAsia" w:ascii="楷体" w:hAnsi="楷体" w:eastAsia="楷体" w:cs="宋体"/>
                <w:sz w:val="24"/>
                <w:szCs w:val="24"/>
                <w:lang w:val="en-US" w:eastAsia="zh-CN"/>
              </w:rPr>
            </w:pPr>
          </w:p>
        </w:tc>
        <w:tc>
          <w:tcPr>
            <w:tcW w:w="12120" w:type="dxa"/>
            <w:vAlign w:val="center"/>
          </w:tcPr>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范围的确认：见4.3条款审核记录，符合要求</w:t>
            </w:r>
          </w:p>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资质的确认：见4.1条款审核记录，符合要求</w:t>
            </w:r>
          </w:p>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法律法规执行情况：进行了合规性评价，符合要求；</w:t>
            </w:r>
          </w:p>
          <w:p>
            <w:pPr>
              <w:adjustRightInd w:val="0"/>
              <w:snapToGrid w:val="0"/>
              <w:spacing w:line="3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质量抽查及顾客投诉情况：经询问自公司成立以来未发生过质量、安全和环境事故。</w:t>
            </w:r>
          </w:p>
          <w:p>
            <w:pPr>
              <w:adjustRightInd w:val="0"/>
              <w:snapToGrid w:val="0"/>
              <w:spacing w:line="300" w:lineRule="exac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一阶段不符合验证：一阶段未发现不符合。</w:t>
            </w:r>
          </w:p>
        </w:tc>
        <w:tc>
          <w:tcPr>
            <w:tcW w:w="457" w:type="dxa"/>
          </w:tcPr>
          <w:p>
            <w:pPr>
              <w:adjustRightInd w:val="0"/>
              <w:snapToGrid w:val="0"/>
              <w:spacing w:line="300" w:lineRule="exact"/>
              <w:rPr>
                <w:rFonts w:hint="eastAsia" w:ascii="楷体" w:hAnsi="楷体" w:eastAsia="楷体" w:cs="宋体"/>
                <w:sz w:val="24"/>
                <w:szCs w:val="24"/>
              </w:rPr>
            </w:pPr>
            <w:r>
              <w:rPr>
                <w:rFonts w:hint="eastAsia" w:ascii="楷体" w:hAnsi="楷体" w:eastAsia="楷体" w:cs="宋体"/>
                <w:sz w:val="24"/>
                <w:szCs w:val="24"/>
                <w:lang w:val="en-US" w:eastAsia="zh-CN"/>
              </w:rPr>
              <w:t>Y</w:t>
            </w:r>
          </w:p>
        </w:tc>
      </w:tr>
    </w:tbl>
    <w:p>
      <w:pPr>
        <w:spacing w:line="480" w:lineRule="exact"/>
        <w:jc w:val="center"/>
        <w:rPr>
          <w:rFonts w:ascii="隶书" w:hAnsi="宋体" w:eastAsia="隶书"/>
          <w:bCs/>
          <w:color w:val="000000"/>
          <w:sz w:val="36"/>
          <w:szCs w:val="36"/>
        </w:rPr>
      </w:pPr>
    </w:p>
    <w:p/>
    <w:p>
      <w:pPr>
        <w:spacing w:line="480" w:lineRule="exact"/>
        <w:jc w:val="center"/>
        <w:rPr>
          <w:rFonts w:hint="eastAsia" w:ascii="隶书" w:hAnsi="宋体" w:eastAsia="隶书"/>
          <w:bCs/>
          <w:color w:val="000000"/>
          <w:sz w:val="36"/>
          <w:szCs w:val="36"/>
        </w:rPr>
      </w:pPr>
    </w:p>
    <w:p>
      <w:pPr>
        <w:pStyle w:val="6"/>
        <w:rPr>
          <w:rFonts w:hint="eastAsia" w:ascii="隶书" w:hAnsi="宋体" w:eastAsia="隶书"/>
          <w:bCs/>
          <w:color w:val="000000"/>
          <w:sz w:val="36"/>
          <w:szCs w:val="36"/>
        </w:rPr>
      </w:pPr>
    </w:p>
    <w:p>
      <w:pPr>
        <w:pStyle w:val="5"/>
        <w:rPr>
          <w:rFonts w:hint="eastAsia" w:ascii="隶书" w:hAnsi="宋体" w:eastAsia="隶书"/>
          <w:bCs/>
          <w:color w:val="000000"/>
          <w:sz w:val="36"/>
          <w:szCs w:val="36"/>
        </w:rPr>
      </w:pPr>
    </w:p>
    <w:p>
      <w:pPr>
        <w:pStyle w:val="6"/>
        <w:rPr>
          <w:rFonts w:hint="eastAsia" w:ascii="隶书" w:hAnsi="宋体" w:eastAsia="隶书"/>
          <w:bCs/>
          <w:color w:val="000000"/>
          <w:sz w:val="36"/>
          <w:szCs w:val="36"/>
        </w:rPr>
      </w:pPr>
    </w:p>
    <w:p>
      <w:pPr>
        <w:spacing w:line="480" w:lineRule="exact"/>
        <w:jc w:val="both"/>
        <w:rPr>
          <w:rFonts w:hint="eastAsia" w:ascii="隶书" w:hAnsi="宋体" w:eastAsia="隶书"/>
          <w:bCs/>
          <w:color w:val="000000"/>
          <w:sz w:val="36"/>
          <w:szCs w:val="36"/>
        </w:rPr>
      </w:pPr>
    </w:p>
    <w:p>
      <w:pPr>
        <w:pStyle w:val="6"/>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885"/>
        <w:gridCol w:w="12045"/>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22" w:type="dxa"/>
            <w:vMerge w:val="restart"/>
            <w:vAlign w:val="center"/>
          </w:tcPr>
          <w:p>
            <w:pPr>
              <w:rPr>
                <w:rFonts w:ascii="楷体" w:hAnsi="楷体" w:eastAsia="楷体"/>
                <w:sz w:val="24"/>
                <w:szCs w:val="24"/>
              </w:rPr>
            </w:pPr>
            <w:r>
              <w:rPr>
                <w:rFonts w:hint="eastAsia" w:ascii="楷体" w:hAnsi="楷体" w:eastAsia="楷体"/>
                <w:sz w:val="24"/>
                <w:szCs w:val="24"/>
              </w:rPr>
              <w:t>过程与活动、</w:t>
            </w:r>
          </w:p>
          <w:p>
            <w:pPr>
              <w:rPr>
                <w:rFonts w:ascii="楷体" w:hAnsi="楷体" w:eastAsia="楷体"/>
                <w:sz w:val="24"/>
                <w:szCs w:val="24"/>
              </w:rPr>
            </w:pPr>
            <w:r>
              <w:rPr>
                <w:rFonts w:hint="eastAsia" w:ascii="楷体" w:hAnsi="楷体" w:eastAsia="楷体"/>
                <w:sz w:val="24"/>
                <w:szCs w:val="24"/>
              </w:rPr>
              <w:t>抽样计划</w:t>
            </w:r>
          </w:p>
        </w:tc>
        <w:tc>
          <w:tcPr>
            <w:tcW w:w="885"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2045" w:type="dxa"/>
            <w:vAlign w:val="center"/>
          </w:tcPr>
          <w:p>
            <w:pPr>
              <w:rPr>
                <w:rFonts w:hint="eastAsia" w:ascii="楷体" w:hAnsi="楷体" w:eastAsia="楷体"/>
                <w:sz w:val="24"/>
                <w:szCs w:val="24"/>
                <w:lang w:eastAsia="zh-CN"/>
              </w:rPr>
            </w:pPr>
            <w:r>
              <w:rPr>
                <w:rFonts w:hint="eastAsia" w:ascii="楷体" w:hAnsi="楷体" w:eastAsia="楷体"/>
                <w:sz w:val="24"/>
                <w:szCs w:val="24"/>
              </w:rPr>
              <w:t>受审核部门：</w:t>
            </w:r>
            <w:r>
              <w:rPr>
                <w:rFonts w:hint="eastAsia" w:ascii="楷体" w:hAnsi="楷体" w:eastAsia="楷体"/>
                <w:sz w:val="24"/>
                <w:szCs w:val="24"/>
                <w:lang w:eastAsia="zh-CN"/>
              </w:rPr>
              <w:t>综合部</w:t>
            </w:r>
            <w:r>
              <w:rPr>
                <w:rFonts w:hint="eastAsia" w:ascii="楷体" w:hAnsi="楷体" w:eastAsia="楷体"/>
                <w:sz w:val="24"/>
                <w:szCs w:val="24"/>
              </w:rPr>
              <w:t xml:space="preserve">        主管领导：</w:t>
            </w:r>
            <w:r>
              <w:rPr>
                <w:rFonts w:hint="eastAsia" w:ascii="楷体" w:hAnsi="楷体" w:eastAsia="楷体"/>
                <w:sz w:val="24"/>
                <w:szCs w:val="24"/>
                <w:lang w:eastAsia="zh-CN"/>
              </w:rPr>
              <w:t>高韦</w:t>
            </w:r>
            <w:r>
              <w:rPr>
                <w:rFonts w:hint="eastAsia" w:ascii="楷体" w:hAnsi="楷体" w:eastAsia="楷体"/>
                <w:sz w:val="24"/>
                <w:szCs w:val="24"/>
              </w:rPr>
              <w:t xml:space="preserve">               陪同人员：</w:t>
            </w:r>
            <w:r>
              <w:rPr>
                <w:rFonts w:hint="eastAsia" w:ascii="楷体" w:hAnsi="楷体" w:eastAsia="楷体"/>
                <w:sz w:val="24"/>
                <w:szCs w:val="24"/>
                <w:lang w:eastAsia="zh-CN"/>
              </w:rPr>
              <w:t>李环晔</w:t>
            </w:r>
          </w:p>
        </w:tc>
        <w:tc>
          <w:tcPr>
            <w:tcW w:w="457"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2" w:type="dxa"/>
            <w:vMerge w:val="continue"/>
            <w:vAlign w:val="center"/>
          </w:tcPr>
          <w:p>
            <w:pPr>
              <w:rPr>
                <w:rFonts w:ascii="楷体" w:hAnsi="楷体" w:eastAsia="楷体"/>
                <w:sz w:val="24"/>
                <w:szCs w:val="24"/>
              </w:rPr>
            </w:pPr>
          </w:p>
        </w:tc>
        <w:tc>
          <w:tcPr>
            <w:tcW w:w="885" w:type="dxa"/>
            <w:vMerge w:val="continue"/>
            <w:vAlign w:val="center"/>
          </w:tcPr>
          <w:p>
            <w:pPr>
              <w:rPr>
                <w:rFonts w:ascii="楷体" w:hAnsi="楷体" w:eastAsia="楷体"/>
                <w:sz w:val="24"/>
                <w:szCs w:val="24"/>
              </w:rPr>
            </w:pPr>
          </w:p>
        </w:tc>
        <w:tc>
          <w:tcPr>
            <w:tcW w:w="12045" w:type="dxa"/>
            <w:vAlign w:val="center"/>
          </w:tcPr>
          <w:p>
            <w:pPr>
              <w:rPr>
                <w:rFonts w:hint="default" w:ascii="楷体" w:hAnsi="楷体" w:eastAsia="楷体"/>
                <w:sz w:val="24"/>
                <w:szCs w:val="24"/>
                <w:lang w:val="en-US" w:eastAsia="zh-CN"/>
              </w:rPr>
            </w:pPr>
            <w:r>
              <w:rPr>
                <w:rFonts w:hint="eastAsia" w:ascii="楷体" w:hAnsi="楷体" w:eastAsia="楷体"/>
                <w:sz w:val="24"/>
                <w:szCs w:val="24"/>
              </w:rPr>
              <w:t>审核员：</w:t>
            </w:r>
            <w:r>
              <w:rPr>
                <w:rFonts w:hint="eastAsia" w:ascii="楷体" w:hAnsi="楷体" w:eastAsia="楷体"/>
                <w:sz w:val="24"/>
                <w:szCs w:val="24"/>
                <w:lang w:eastAsia="zh-CN"/>
              </w:rPr>
              <w:t>杨园</w:t>
            </w:r>
            <w:r>
              <w:rPr>
                <w:rFonts w:hint="eastAsia" w:ascii="楷体" w:hAnsi="楷体" w:eastAsia="楷体"/>
                <w:sz w:val="24"/>
                <w:szCs w:val="24"/>
                <w:lang w:val="en-US" w:eastAsia="zh-CN"/>
              </w:rPr>
              <w:t xml:space="preserve">   </w:t>
            </w:r>
            <w:r>
              <w:rPr>
                <w:rFonts w:hint="eastAsia" w:ascii="楷体" w:hAnsi="楷体" w:eastAsia="楷体"/>
                <w:sz w:val="24"/>
                <w:szCs w:val="24"/>
              </w:rPr>
              <w:t xml:space="preserve">           审核时间：202</w:t>
            </w:r>
            <w:r>
              <w:rPr>
                <w:rFonts w:ascii="楷体" w:hAnsi="楷体" w:eastAsia="楷体"/>
                <w:sz w:val="24"/>
                <w:szCs w:val="24"/>
              </w:rPr>
              <w:t>2.</w:t>
            </w:r>
            <w:r>
              <w:rPr>
                <w:rFonts w:hint="eastAsia" w:ascii="楷体" w:hAnsi="楷体" w:eastAsia="楷体"/>
                <w:sz w:val="24"/>
                <w:szCs w:val="24"/>
                <w:lang w:val="en-US" w:eastAsia="zh-CN"/>
              </w:rPr>
              <w:t>4.1日下午</w:t>
            </w:r>
          </w:p>
        </w:tc>
        <w:tc>
          <w:tcPr>
            <w:tcW w:w="457"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22" w:type="dxa"/>
            <w:vMerge w:val="continue"/>
            <w:vAlign w:val="center"/>
          </w:tcPr>
          <w:p>
            <w:pPr>
              <w:rPr>
                <w:rFonts w:ascii="楷体" w:hAnsi="楷体" w:eastAsia="楷体"/>
                <w:sz w:val="24"/>
                <w:szCs w:val="24"/>
              </w:rPr>
            </w:pPr>
          </w:p>
        </w:tc>
        <w:tc>
          <w:tcPr>
            <w:tcW w:w="885" w:type="dxa"/>
            <w:vMerge w:val="continue"/>
            <w:vAlign w:val="center"/>
          </w:tcPr>
          <w:p>
            <w:pPr>
              <w:rPr>
                <w:rFonts w:ascii="楷体" w:hAnsi="楷体" w:eastAsia="楷体"/>
                <w:sz w:val="24"/>
                <w:szCs w:val="24"/>
              </w:rPr>
            </w:pPr>
          </w:p>
        </w:tc>
        <w:tc>
          <w:tcPr>
            <w:tcW w:w="12045" w:type="dxa"/>
            <w:vAlign w:val="center"/>
          </w:tcPr>
          <w:p>
            <w:pPr>
              <w:spacing w:line="300" w:lineRule="exact"/>
              <w:jc w:val="left"/>
              <w:rPr>
                <w:rFonts w:hint="default" w:ascii="楷体" w:hAnsi="楷体" w:eastAsia="楷体"/>
                <w:sz w:val="24"/>
                <w:szCs w:val="24"/>
                <w:lang w:val="en-US"/>
              </w:rPr>
            </w:pPr>
            <w:r>
              <w:rPr>
                <w:rFonts w:hint="eastAsia" w:ascii="楷体" w:hAnsi="楷体" w:eastAsia="楷体"/>
                <w:sz w:val="24"/>
                <w:szCs w:val="24"/>
              </w:rPr>
              <w:t>审核条款：</w:t>
            </w:r>
            <w:r>
              <w:rPr>
                <w:rFonts w:hint="eastAsia"/>
                <w:sz w:val="24"/>
                <w:szCs w:val="24"/>
                <w:lang w:val="en-US" w:eastAsia="zh-CN"/>
              </w:rPr>
              <w:t>5.3/6.2/7.2/7.3/7.4/7.5/9</w:t>
            </w:r>
            <w:r>
              <w:rPr>
                <w:rFonts w:hint="eastAsia"/>
                <w:sz w:val="24"/>
                <w:szCs w:val="24"/>
              </w:rPr>
              <w:t>.</w:t>
            </w:r>
            <w:r>
              <w:rPr>
                <w:rFonts w:hint="eastAsia"/>
                <w:sz w:val="24"/>
                <w:szCs w:val="24"/>
                <w:lang w:val="en-US" w:eastAsia="zh-CN"/>
              </w:rPr>
              <w:t>1</w:t>
            </w:r>
            <w:r>
              <w:rPr>
                <w:rFonts w:hint="eastAsia"/>
                <w:sz w:val="24"/>
                <w:szCs w:val="24"/>
              </w:rPr>
              <w:t>.</w:t>
            </w:r>
            <w:r>
              <w:rPr>
                <w:rFonts w:hint="eastAsia"/>
                <w:sz w:val="24"/>
                <w:szCs w:val="24"/>
                <w:lang w:val="en-US" w:eastAsia="zh-CN"/>
              </w:rPr>
              <w:t>1/10</w:t>
            </w:r>
            <w:r>
              <w:rPr>
                <w:sz w:val="24"/>
                <w:szCs w:val="24"/>
              </w:rPr>
              <w:t>.</w:t>
            </w:r>
            <w:r>
              <w:rPr>
                <w:rFonts w:hint="eastAsia"/>
                <w:sz w:val="24"/>
                <w:szCs w:val="24"/>
                <w:lang w:val="en-US" w:eastAsia="zh-CN"/>
              </w:rPr>
              <w:t>2/9.2</w:t>
            </w:r>
          </w:p>
        </w:tc>
        <w:tc>
          <w:tcPr>
            <w:tcW w:w="457"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322" w:type="dxa"/>
          </w:tcPr>
          <w:p>
            <w:pPr>
              <w:rPr>
                <w:rFonts w:ascii="楷体" w:hAnsi="楷体" w:eastAsia="楷体"/>
                <w:sz w:val="24"/>
                <w:szCs w:val="24"/>
              </w:rPr>
            </w:pPr>
            <w:r>
              <w:rPr>
                <w:rFonts w:hint="eastAsia" w:ascii="楷体" w:hAnsi="楷体" w:eastAsia="楷体"/>
                <w:sz w:val="24"/>
                <w:szCs w:val="24"/>
              </w:rPr>
              <w:t>组织的岗位、职责和权限</w:t>
            </w:r>
          </w:p>
        </w:tc>
        <w:tc>
          <w:tcPr>
            <w:tcW w:w="885" w:type="dxa"/>
          </w:tcPr>
          <w:p>
            <w:pPr>
              <w:rPr>
                <w:rFonts w:hint="eastAsia" w:ascii="楷体" w:hAnsi="楷体" w:eastAsia="楷体"/>
                <w:sz w:val="24"/>
                <w:szCs w:val="24"/>
                <w:lang w:eastAsia="zh-CN"/>
              </w:rPr>
            </w:pPr>
            <w:r>
              <w:rPr>
                <w:rFonts w:hint="eastAsia" w:ascii="楷体" w:hAnsi="楷体" w:eastAsia="楷体"/>
                <w:sz w:val="24"/>
                <w:szCs w:val="24"/>
                <w:lang w:eastAsia="zh-CN"/>
              </w:rPr>
              <w:t>O</w:t>
            </w:r>
          </w:p>
          <w:p>
            <w:pPr>
              <w:rPr>
                <w:rFonts w:ascii="楷体" w:hAnsi="楷体" w:eastAsia="楷体"/>
                <w:sz w:val="24"/>
                <w:szCs w:val="24"/>
              </w:rPr>
            </w:pPr>
            <w:r>
              <w:rPr>
                <w:rFonts w:hint="eastAsia" w:ascii="楷体" w:hAnsi="楷体" w:eastAsia="楷体"/>
                <w:sz w:val="24"/>
                <w:szCs w:val="24"/>
              </w:rPr>
              <w:t>5.3</w:t>
            </w:r>
          </w:p>
        </w:tc>
        <w:tc>
          <w:tcPr>
            <w:tcW w:w="12045" w:type="dxa"/>
          </w:tcPr>
          <w:p>
            <w:pPr>
              <w:bidi w:val="0"/>
              <w:jc w:val="left"/>
              <w:rPr>
                <w:rFonts w:hint="eastAsia" w:ascii="楷体" w:hAnsi="楷体" w:eastAsia="楷体" w:cs="Times New Roman"/>
                <w:sz w:val="24"/>
                <w:szCs w:val="24"/>
                <w:lang w:val="zh-CN"/>
              </w:rPr>
            </w:pPr>
            <w:r>
              <w:rPr>
                <w:rFonts w:hint="eastAsia" w:ascii="楷体" w:hAnsi="楷体" w:eastAsia="楷体" w:cs="Times New Roman"/>
                <w:sz w:val="24"/>
                <w:szCs w:val="24"/>
                <w:lang w:val="zh-CN"/>
              </w:rPr>
              <w:sym w:font="Wingdings 2" w:char="F098"/>
            </w:r>
            <w:r>
              <w:rPr>
                <w:rFonts w:hint="eastAsia" w:ascii="楷体" w:hAnsi="楷体" w:eastAsia="楷体" w:cs="Times New Roman"/>
                <w:sz w:val="24"/>
                <w:szCs w:val="24"/>
                <w:lang w:val="zh-CN" w:eastAsia="zh-CN"/>
              </w:rPr>
              <w:t>综合部负责人：高韦</w:t>
            </w:r>
          </w:p>
          <w:p>
            <w:pPr>
              <w:bidi w:val="0"/>
              <w:jc w:val="left"/>
              <w:rPr>
                <w:rFonts w:hint="eastAsia" w:ascii="楷体" w:hAnsi="楷体" w:eastAsia="楷体" w:cs="Times New Roman"/>
                <w:sz w:val="24"/>
                <w:szCs w:val="24"/>
                <w:lang w:val="zh-CN" w:eastAsia="zh-CN"/>
              </w:rPr>
            </w:pPr>
            <w:r>
              <w:rPr>
                <w:rFonts w:hint="eastAsia" w:ascii="楷体" w:hAnsi="楷体" w:eastAsia="楷体" w:cs="Times New Roman"/>
                <w:sz w:val="24"/>
                <w:szCs w:val="24"/>
                <w:lang w:val="zh-CN"/>
              </w:rPr>
              <w:sym w:font="Wingdings 2" w:char="F098"/>
            </w:r>
            <w:r>
              <w:rPr>
                <w:rFonts w:hint="eastAsia" w:ascii="楷体" w:hAnsi="楷体" w:eastAsia="楷体" w:cs="Times New Roman"/>
                <w:sz w:val="24"/>
                <w:szCs w:val="24"/>
                <w:lang w:val="en-US" w:eastAsia="zh-CN"/>
              </w:rPr>
              <w:t>李经理主管</w:t>
            </w:r>
            <w:r>
              <w:rPr>
                <w:rFonts w:hint="eastAsia" w:ascii="楷体" w:hAnsi="楷体" w:eastAsia="楷体" w:cs="Times New Roman"/>
                <w:sz w:val="24"/>
                <w:szCs w:val="24"/>
                <w:lang w:val="zh-CN" w:eastAsia="zh-CN"/>
              </w:rPr>
              <w:t>介绍，综合部主要负责公司文件管理，内部审核工作、管理评审，人力资源管理，培训工作，体系运行控制，本部门环境因素和风险，危险源辨识和控制，信息交流等工作。</w:t>
            </w:r>
          </w:p>
          <w:p>
            <w:pPr>
              <w:bidi w:val="0"/>
              <w:jc w:val="left"/>
              <w:rPr>
                <w:rFonts w:ascii="楷体" w:hAnsi="楷体" w:eastAsia="楷体"/>
                <w:bCs/>
                <w:sz w:val="24"/>
                <w:szCs w:val="24"/>
              </w:rPr>
            </w:pPr>
            <w:r>
              <w:rPr>
                <w:rFonts w:hint="eastAsia" w:ascii="楷体" w:hAnsi="楷体" w:eastAsia="楷体"/>
                <w:sz w:val="24"/>
                <w:szCs w:val="24"/>
                <w:lang w:eastAsia="zh-CN"/>
              </w:rPr>
              <w:t>本部门职责明确，基本能够顺利开展工作。</w:t>
            </w:r>
          </w:p>
        </w:tc>
        <w:tc>
          <w:tcPr>
            <w:tcW w:w="457" w:type="dxa"/>
          </w:tcPr>
          <w:p>
            <w:pPr>
              <w:rPr>
                <w:rFonts w:hint="eastAsia" w:ascii="楷体" w:hAnsi="楷体" w:eastAsia="楷体"/>
                <w:sz w:val="24"/>
                <w:szCs w:val="24"/>
                <w:lang w:val="en-US" w:eastAsia="zh-CN"/>
              </w:rPr>
            </w:pPr>
            <w:r>
              <w:rPr>
                <w:rFonts w:hint="eastAsia" w:ascii="楷体" w:hAnsi="楷体" w:eastAsia="楷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tcPr>
          <w:p>
            <w:pPr>
              <w:rPr>
                <w:rFonts w:ascii="楷体" w:hAnsi="楷体" w:eastAsia="楷体"/>
                <w:sz w:val="24"/>
                <w:szCs w:val="24"/>
              </w:rPr>
            </w:pPr>
            <w:r>
              <w:rPr>
                <w:rFonts w:hint="eastAsia" w:ascii="楷体" w:hAnsi="楷体" w:eastAsia="楷体"/>
                <w:sz w:val="24"/>
                <w:szCs w:val="24"/>
              </w:rPr>
              <w:t>目标及其实现的策划</w:t>
            </w:r>
          </w:p>
        </w:tc>
        <w:tc>
          <w:tcPr>
            <w:tcW w:w="885" w:type="dxa"/>
          </w:tcPr>
          <w:p>
            <w:pPr>
              <w:rPr>
                <w:rFonts w:hint="eastAsia" w:ascii="楷体" w:hAnsi="楷体" w:eastAsia="楷体"/>
                <w:sz w:val="24"/>
                <w:szCs w:val="24"/>
                <w:lang w:eastAsia="zh-CN"/>
              </w:rPr>
            </w:pPr>
            <w:r>
              <w:rPr>
                <w:rFonts w:hint="eastAsia" w:ascii="楷体" w:hAnsi="楷体" w:eastAsia="楷体"/>
                <w:sz w:val="24"/>
                <w:szCs w:val="24"/>
                <w:lang w:eastAsia="zh-CN"/>
              </w:rPr>
              <w:t>O</w:t>
            </w:r>
          </w:p>
          <w:p>
            <w:pPr>
              <w:rPr>
                <w:rFonts w:ascii="楷体" w:hAnsi="楷体" w:eastAsia="楷体"/>
                <w:sz w:val="24"/>
                <w:szCs w:val="24"/>
              </w:rPr>
            </w:pPr>
            <w:r>
              <w:rPr>
                <w:rFonts w:hint="eastAsia" w:ascii="楷体" w:hAnsi="楷体" w:eastAsia="楷体"/>
                <w:sz w:val="24"/>
                <w:szCs w:val="24"/>
              </w:rPr>
              <w:t xml:space="preserve">6.2 </w:t>
            </w:r>
          </w:p>
          <w:p>
            <w:pPr>
              <w:rPr>
                <w:rFonts w:ascii="楷体" w:hAnsi="楷体" w:eastAsia="楷体"/>
                <w:sz w:val="24"/>
                <w:szCs w:val="24"/>
              </w:rPr>
            </w:pPr>
          </w:p>
        </w:tc>
        <w:tc>
          <w:tcPr>
            <w:tcW w:w="12045" w:type="dxa"/>
          </w:tcPr>
          <w:p>
            <w:pPr>
              <w:bidi w:val="0"/>
              <w:jc w:val="left"/>
              <w:rPr>
                <w:rFonts w:hint="default"/>
                <w:lang w:val="en-US" w:eastAsia="zh-CN"/>
              </w:rPr>
            </w:pPr>
            <w:r>
              <w:rPr>
                <w:rFonts w:hint="eastAsia" w:ascii="楷体" w:hAnsi="楷体" w:eastAsia="楷体" w:cs="Times New Roman"/>
                <w:sz w:val="24"/>
                <w:szCs w:val="24"/>
                <w:lang w:val="zh-CN"/>
              </w:rPr>
              <w:sym w:font="Wingdings 2" w:char="F098"/>
            </w:r>
            <w:r>
              <w:rPr>
                <w:rFonts w:hint="eastAsia" w:ascii="楷体" w:hAnsi="楷体" w:eastAsia="楷体"/>
                <w:sz w:val="24"/>
                <w:szCs w:val="24"/>
                <w:lang w:val="zh-CN"/>
              </w:rPr>
              <w:t>查见《管理手册》公司管理层以公司的质量/环境/职业健康安全方针为框架，结合公司的实际运营情况，制定公司的安全管理目标：</w:t>
            </w:r>
            <w:r>
              <w:rPr>
                <w:rFonts w:hint="eastAsia" w:ascii="楷体" w:hAnsi="楷体" w:eastAsia="楷体"/>
                <w:sz w:val="24"/>
                <w:szCs w:val="24"/>
                <w:lang w:eastAsia="zh-CN"/>
              </w:rPr>
              <w:t>重大安全事故为0</w:t>
            </w:r>
            <w:r>
              <w:rPr>
                <w:rFonts w:hint="eastAsia" w:ascii="楷体" w:hAnsi="楷体" w:eastAsia="楷体"/>
                <w:sz w:val="24"/>
                <w:szCs w:val="24"/>
                <w:lang w:val="en-US" w:eastAsia="zh-CN"/>
              </w:rPr>
              <w:t xml:space="preserve"> 、</w:t>
            </w:r>
            <w:r>
              <w:rPr>
                <w:rFonts w:hint="eastAsia" w:ascii="楷体" w:hAnsi="楷体" w:eastAsia="楷体"/>
                <w:sz w:val="24"/>
                <w:szCs w:val="24"/>
                <w:lang w:eastAsia="zh-CN"/>
              </w:rPr>
              <w:t>职业病伤害事故为0</w:t>
            </w:r>
            <w:r>
              <w:rPr>
                <w:rFonts w:hint="eastAsia" w:ascii="楷体" w:hAnsi="楷体" w:eastAsia="楷体"/>
                <w:sz w:val="24"/>
                <w:szCs w:val="24"/>
                <w:lang w:val="en-US" w:eastAsia="zh-CN"/>
              </w:rPr>
              <w:t>、</w:t>
            </w:r>
            <w:r>
              <w:rPr>
                <w:rFonts w:hint="eastAsia" w:ascii="楷体" w:hAnsi="楷体" w:eastAsia="楷体"/>
                <w:sz w:val="24"/>
                <w:szCs w:val="24"/>
                <w:lang w:eastAsia="zh-CN"/>
              </w:rPr>
              <w:t>火灾事故发生率为0</w:t>
            </w:r>
          </w:p>
          <w:p>
            <w:pPr>
              <w:rPr>
                <w:rFonts w:hint="eastAsia" w:ascii="楷体" w:hAnsi="楷体" w:eastAsia="楷体"/>
                <w:sz w:val="24"/>
                <w:szCs w:val="24"/>
                <w:lang w:val="zh-CN" w:eastAsia="zh-CN"/>
              </w:rPr>
            </w:pPr>
            <w:r>
              <w:rPr>
                <w:rFonts w:hint="eastAsia" w:ascii="楷体" w:hAnsi="楷体" w:eastAsia="楷体"/>
                <w:sz w:val="24"/>
                <w:szCs w:val="24"/>
                <w:lang w:val="zh-CN" w:eastAsia="zh-CN"/>
              </w:rPr>
              <w:t>为确保目标的实现，制定了</w:t>
            </w:r>
            <w:r>
              <w:rPr>
                <w:rFonts w:hint="eastAsia" w:ascii="楷体" w:hAnsi="楷体" w:eastAsia="楷体"/>
                <w:sz w:val="24"/>
                <w:szCs w:val="24"/>
                <w:lang w:eastAsia="zh-CN"/>
              </w:rPr>
              <w:t>《</w:t>
            </w:r>
            <w:r>
              <w:rPr>
                <w:rFonts w:hint="eastAsia" w:ascii="楷体" w:hAnsi="楷体" w:eastAsia="楷体"/>
                <w:sz w:val="24"/>
                <w:szCs w:val="24"/>
                <w:lang w:val="zh-CN"/>
              </w:rPr>
              <w:t>体系目标分解考核办法</w:t>
            </w:r>
            <w:r>
              <w:rPr>
                <w:rFonts w:hint="eastAsia" w:ascii="楷体" w:hAnsi="楷体" w:eastAsia="楷体"/>
                <w:sz w:val="24"/>
                <w:szCs w:val="24"/>
                <w:lang w:val="zh-CN" w:eastAsia="zh-CN"/>
              </w:rPr>
              <w:t>》，有目标分解，考核周期，计算方法，考核部门（综合部）。</w:t>
            </w:r>
          </w:p>
          <w:p>
            <w:pPr>
              <w:pStyle w:val="18"/>
              <w:ind w:left="0" w:leftChars="0" w:firstLine="0" w:firstLineChars="0"/>
              <w:rPr>
                <w:rFonts w:hint="default"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zh-CN" w:eastAsia="zh-CN" w:bidi="ar-SA"/>
              </w:rPr>
              <w:t>查综合部</w:t>
            </w:r>
            <w:r>
              <w:rPr>
                <w:rFonts w:hint="eastAsia" w:ascii="楷体" w:hAnsi="楷体" w:eastAsia="楷体" w:cs="Times New Roman"/>
                <w:kern w:val="2"/>
                <w:sz w:val="24"/>
                <w:szCs w:val="24"/>
                <w:lang w:val="en-US" w:eastAsia="zh-CN" w:bidi="ar-SA"/>
              </w:rPr>
              <w:t>2021年安全目标分解和考核情况：</w:t>
            </w:r>
          </w:p>
          <w:p>
            <w:pPr>
              <w:rPr>
                <w:rFonts w:hint="default" w:ascii="楷体" w:hAnsi="楷体" w:eastAsia="楷体"/>
                <w:sz w:val="24"/>
                <w:szCs w:val="24"/>
                <w:lang w:val="en-US" w:eastAsia="zh-CN"/>
              </w:rPr>
            </w:pPr>
            <w:r>
              <w:rPr>
                <w:rFonts w:hint="eastAsia" w:ascii="楷体" w:hAnsi="楷体" w:eastAsia="楷体"/>
                <w:sz w:val="24"/>
                <w:szCs w:val="24"/>
              </w:rPr>
              <w:t xml:space="preserve">项目及指标          </w:t>
            </w:r>
            <w:r>
              <w:rPr>
                <w:rFonts w:hint="eastAsia" w:ascii="楷体" w:hAnsi="楷体" w:eastAsia="楷体"/>
                <w:sz w:val="24"/>
                <w:szCs w:val="24"/>
                <w:lang w:val="en-US" w:eastAsia="zh-CN"/>
              </w:rPr>
              <w:t xml:space="preserve">                                        2021年</w:t>
            </w:r>
            <w:r>
              <w:rPr>
                <w:rFonts w:ascii="楷体" w:hAnsi="楷体" w:eastAsia="楷体"/>
                <w:sz w:val="24"/>
                <w:szCs w:val="24"/>
              </w:rPr>
              <w:t>4</w:t>
            </w:r>
            <w:r>
              <w:rPr>
                <w:rFonts w:hint="eastAsia" w:ascii="楷体" w:hAnsi="楷体" w:eastAsia="楷体"/>
                <w:sz w:val="24"/>
                <w:szCs w:val="24"/>
              </w:rPr>
              <w:t xml:space="preserve">季度  </w:t>
            </w:r>
            <w:r>
              <w:rPr>
                <w:rFonts w:hint="eastAsia" w:ascii="楷体" w:hAnsi="楷体" w:eastAsia="楷体"/>
                <w:sz w:val="24"/>
                <w:szCs w:val="24"/>
                <w:lang w:val="en-US" w:eastAsia="zh-CN"/>
              </w:rPr>
              <w:t xml:space="preserve">    </w:t>
            </w:r>
          </w:p>
          <w:p>
            <w:pPr>
              <w:tabs>
                <w:tab w:val="left" w:pos="1825"/>
              </w:tabs>
              <w:jc w:val="left"/>
              <w:rPr>
                <w:rFonts w:hint="default" w:ascii="楷体" w:hAnsi="楷体" w:eastAsia="楷体"/>
                <w:sz w:val="24"/>
                <w:szCs w:val="24"/>
                <w:lang w:val="en-US" w:eastAsia="zh-CN"/>
              </w:rPr>
            </w:pPr>
            <w:r>
              <w:rPr>
                <w:rFonts w:hint="eastAsia" w:ascii="楷体" w:hAnsi="楷体" w:eastAsia="楷体"/>
                <w:sz w:val="24"/>
                <w:szCs w:val="24"/>
                <w:lang w:eastAsia="zh-CN"/>
              </w:rPr>
              <w:t>意外伤害事故发生为0</w:t>
            </w:r>
            <w:r>
              <w:rPr>
                <w:rFonts w:hint="eastAsia" w:ascii="楷体" w:hAnsi="楷体" w:eastAsia="楷体"/>
                <w:sz w:val="24"/>
                <w:szCs w:val="24"/>
                <w:lang w:val="en-US" w:eastAsia="zh-CN"/>
              </w:rPr>
              <w:t xml:space="preserve">                                               0</w:t>
            </w:r>
          </w:p>
          <w:p>
            <w:pPr>
              <w:tabs>
                <w:tab w:val="left" w:pos="1825"/>
                <w:tab w:val="left" w:pos="7820"/>
              </w:tabs>
              <w:jc w:val="left"/>
              <w:rPr>
                <w:rFonts w:hint="default" w:ascii="楷体" w:hAnsi="楷体" w:eastAsia="楷体"/>
                <w:sz w:val="24"/>
                <w:szCs w:val="24"/>
                <w:lang w:val="en-US" w:eastAsia="zh-CN"/>
              </w:rPr>
            </w:pPr>
            <w:r>
              <w:rPr>
                <w:rFonts w:hint="eastAsia" w:ascii="楷体" w:hAnsi="楷体" w:eastAsia="楷体"/>
                <w:sz w:val="24"/>
                <w:szCs w:val="24"/>
                <w:lang w:eastAsia="zh-CN"/>
              </w:rPr>
              <w:t>职业健康安全账目出错为0</w:t>
            </w:r>
            <w:r>
              <w:rPr>
                <w:rFonts w:hint="eastAsia" w:ascii="楷体" w:hAnsi="楷体" w:eastAsia="楷体"/>
                <w:sz w:val="24"/>
                <w:szCs w:val="24"/>
                <w:lang w:eastAsia="zh-CN"/>
              </w:rPr>
              <w:tab/>
            </w:r>
            <w:r>
              <w:rPr>
                <w:rFonts w:hint="eastAsia" w:ascii="楷体" w:hAnsi="楷体" w:eastAsia="楷体"/>
                <w:sz w:val="24"/>
                <w:szCs w:val="24"/>
                <w:lang w:val="en-US" w:eastAsia="zh-CN"/>
              </w:rPr>
              <w:t xml:space="preserve"> 0</w:t>
            </w:r>
          </w:p>
          <w:p>
            <w:pPr>
              <w:tabs>
                <w:tab w:val="left" w:pos="1825"/>
                <w:tab w:val="left" w:pos="7782"/>
              </w:tabs>
              <w:jc w:val="left"/>
              <w:rPr>
                <w:rFonts w:hint="default" w:ascii="楷体" w:hAnsi="楷体" w:eastAsia="楷体"/>
                <w:sz w:val="24"/>
                <w:szCs w:val="24"/>
                <w:lang w:val="en-US" w:eastAsia="zh-CN"/>
              </w:rPr>
            </w:pPr>
            <w:r>
              <w:rPr>
                <w:rFonts w:hint="eastAsia" w:ascii="楷体" w:hAnsi="楷体" w:eastAsia="楷体"/>
                <w:sz w:val="24"/>
                <w:szCs w:val="24"/>
                <w:lang w:eastAsia="zh-CN"/>
              </w:rPr>
              <w:t>建立供方档案，对供方及运输方职业健康安全宣传率≥99%</w:t>
            </w:r>
            <w:r>
              <w:rPr>
                <w:rFonts w:hint="eastAsia" w:ascii="楷体" w:hAnsi="楷体" w:eastAsia="楷体"/>
                <w:sz w:val="24"/>
                <w:szCs w:val="24"/>
                <w:lang w:eastAsia="zh-CN"/>
              </w:rPr>
              <w:tab/>
            </w:r>
            <w:r>
              <w:rPr>
                <w:rFonts w:hint="eastAsia" w:ascii="楷体" w:hAnsi="楷体" w:eastAsia="楷体"/>
                <w:sz w:val="24"/>
                <w:szCs w:val="24"/>
                <w:lang w:val="en-US" w:eastAsia="zh-CN"/>
              </w:rPr>
              <w:t>100%</w:t>
            </w:r>
          </w:p>
          <w:p>
            <w:pPr>
              <w:tabs>
                <w:tab w:val="left" w:pos="1825"/>
                <w:tab w:val="left" w:pos="8007"/>
              </w:tabs>
              <w:jc w:val="left"/>
              <w:rPr>
                <w:rFonts w:hint="eastAsia" w:ascii="楷体" w:hAnsi="楷体" w:eastAsia="楷体"/>
                <w:sz w:val="24"/>
                <w:szCs w:val="24"/>
                <w:lang w:val="en-US" w:eastAsia="zh-CN"/>
              </w:rPr>
            </w:pPr>
            <w:r>
              <w:rPr>
                <w:rFonts w:hint="eastAsia" w:ascii="楷体" w:hAnsi="楷体" w:eastAsia="楷体"/>
                <w:sz w:val="24"/>
                <w:szCs w:val="24"/>
                <w:lang w:eastAsia="zh-CN"/>
              </w:rPr>
              <w:t>火灾事故发生率为0</w:t>
            </w:r>
            <w:r>
              <w:rPr>
                <w:rFonts w:hint="eastAsia" w:ascii="楷体" w:hAnsi="楷体" w:eastAsia="楷体"/>
                <w:sz w:val="24"/>
                <w:szCs w:val="24"/>
                <w:lang w:eastAsia="zh-CN"/>
              </w:rPr>
              <w:tab/>
            </w:r>
            <w:r>
              <w:rPr>
                <w:rFonts w:hint="eastAsia" w:ascii="楷体" w:hAnsi="楷体" w:eastAsia="楷体"/>
                <w:sz w:val="24"/>
                <w:szCs w:val="24"/>
                <w:lang w:val="en-US" w:eastAsia="zh-CN"/>
              </w:rPr>
              <w:t>0</w:t>
            </w:r>
          </w:p>
          <w:p>
            <w:pPr>
              <w:pStyle w:val="2"/>
              <w:rPr>
                <w:rFonts w:hint="default"/>
                <w:lang w:val="en-US" w:eastAsia="zh-CN"/>
              </w:rPr>
            </w:pPr>
            <w:r>
              <w:rPr>
                <w:rFonts w:hint="eastAsia" w:ascii="楷体" w:hAnsi="楷体" w:eastAsia="楷体"/>
                <w:sz w:val="24"/>
                <w:szCs w:val="24"/>
                <w:lang w:val="en-US" w:eastAsia="zh-CN"/>
              </w:rPr>
              <w:t>评价人：高韦，时间：2022.1.5</w:t>
            </w:r>
          </w:p>
          <w:p>
            <w:pPr>
              <w:pStyle w:val="2"/>
              <w:rPr>
                <w:rFonts w:hint="default"/>
                <w:lang w:val="en-US" w:eastAsia="zh-CN"/>
              </w:rPr>
            </w:pPr>
            <w:r>
              <w:rPr>
                <w:rFonts w:hint="eastAsia" w:ascii="楷体" w:hAnsi="楷体" w:eastAsia="楷体" w:cs="Times New Roman"/>
                <w:bCs w:val="0"/>
                <w:spacing w:val="0"/>
                <w:kern w:val="2"/>
                <w:sz w:val="24"/>
                <w:szCs w:val="24"/>
                <w:lang w:val="en-US" w:eastAsia="zh-CN" w:bidi="ar-SA"/>
              </w:rPr>
              <w:t>2022年第一季度目标尚未进行统计考核，已与企业沟通。</w:t>
            </w:r>
          </w:p>
          <w:p>
            <w:pPr>
              <w:rPr>
                <w:rFonts w:hint="eastAsia" w:ascii="楷体" w:hAnsi="楷体" w:eastAsia="楷体" w:cs="Times New Roman"/>
                <w:sz w:val="24"/>
                <w:szCs w:val="24"/>
                <w:lang w:val="zh-CN"/>
              </w:rPr>
            </w:pPr>
            <w:r>
              <w:rPr>
                <w:rFonts w:hint="eastAsia" w:ascii="楷体" w:hAnsi="楷体" w:eastAsia="楷体" w:cs="Times New Roman"/>
                <w:sz w:val="24"/>
                <w:szCs w:val="24"/>
                <w:lang w:val="zh-CN"/>
              </w:rPr>
              <w:sym w:font="Wingdings 2" w:char="F098"/>
            </w:r>
            <w:r>
              <w:rPr>
                <w:rFonts w:hint="eastAsia" w:ascii="楷体" w:hAnsi="楷体" w:eastAsia="楷体" w:cs="Times New Roman"/>
                <w:sz w:val="24"/>
                <w:szCs w:val="24"/>
                <w:lang w:val="zh-CN"/>
              </w:rPr>
              <w:t>查管理方案实施情况：</w:t>
            </w:r>
          </w:p>
          <w:p>
            <w:pPr>
              <w:pStyle w:val="2"/>
              <w:rPr>
                <w:rFonts w:hint="eastAsia"/>
                <w:lang w:val="zh-CN"/>
              </w:rPr>
            </w:pPr>
            <w:r>
              <w:rPr>
                <w:rFonts w:hint="eastAsia" w:ascii="楷体" w:hAnsi="楷体" w:eastAsia="楷体" w:cs="Times New Roman"/>
                <w:sz w:val="24"/>
                <w:szCs w:val="24"/>
                <w:lang w:val="zh-CN"/>
              </w:rPr>
              <w:t>提供了《职业健康安全目标指标管理方案》</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zh-CN"/>
              </w:rPr>
              <w:t>安全目标指标</w:t>
            </w:r>
            <w:r>
              <w:rPr>
                <w:rFonts w:hint="eastAsia" w:ascii="楷体" w:hAnsi="楷体" w:eastAsia="楷体" w:cs="Times New Roman"/>
                <w:sz w:val="24"/>
                <w:szCs w:val="24"/>
                <w:lang w:val="en-US" w:eastAsia="zh-CN"/>
              </w:rPr>
              <w:t>-</w:t>
            </w:r>
            <w:r>
              <w:rPr>
                <w:rFonts w:hint="eastAsia" w:ascii="楷体" w:hAnsi="楷体" w:eastAsia="楷体" w:cs="Times New Roman"/>
                <w:sz w:val="24"/>
                <w:szCs w:val="24"/>
                <w:lang w:val="zh-CN"/>
              </w:rPr>
              <w:t>杜绝火灾：方案计划内容：综合部对人员进行培训；办公场所设置禁烟警示标识；及时更换失效的消防器材；对火灾进行应急预案演练；定期检查，及时排除火灾隐患。责任部门：综合部高韦，资金预算</w:t>
            </w:r>
            <w:r>
              <w:rPr>
                <w:rFonts w:hint="eastAsia" w:ascii="楷体" w:hAnsi="楷体" w:eastAsia="楷体" w:cs="Times New Roman"/>
                <w:sz w:val="24"/>
                <w:szCs w:val="24"/>
                <w:lang w:val="en-US" w:eastAsia="zh-CN"/>
              </w:rPr>
              <w:t>4000元，长期有效。</w:t>
            </w:r>
          </w:p>
          <w:p>
            <w:pPr>
              <w:pStyle w:val="18"/>
              <w:ind w:left="0" w:leftChars="0" w:firstLine="0" w:firstLineChars="0"/>
              <w:rPr>
                <w:rFonts w:hint="eastAsia" w:ascii="楷体" w:hAnsi="楷体" w:eastAsia="楷体" w:cs="Times New Roman"/>
                <w:kern w:val="2"/>
                <w:sz w:val="24"/>
                <w:szCs w:val="24"/>
                <w:lang w:val="zh-CN" w:eastAsia="zh-CN" w:bidi="ar-SA"/>
              </w:rPr>
            </w:pPr>
            <w:r>
              <w:rPr>
                <w:rFonts w:hint="eastAsia" w:ascii="楷体" w:hAnsi="楷体" w:eastAsia="楷体" w:cs="Times New Roman"/>
                <w:sz w:val="24"/>
                <w:szCs w:val="24"/>
                <w:lang w:val="en-US" w:eastAsia="zh-CN"/>
              </w:rPr>
              <w:t>安全目标</w:t>
            </w:r>
            <w:r>
              <w:rPr>
                <w:rFonts w:hint="eastAsia" w:ascii="楷体" w:hAnsi="楷体" w:eastAsia="楷体" w:cs="Times New Roman"/>
                <w:kern w:val="2"/>
                <w:sz w:val="24"/>
                <w:szCs w:val="24"/>
                <w:lang w:val="en-US" w:eastAsia="zh-CN" w:bidi="ar-SA"/>
              </w:rPr>
              <w:t>指标-</w:t>
            </w:r>
            <w:r>
              <w:rPr>
                <w:rFonts w:hint="eastAsia" w:ascii="楷体" w:hAnsi="楷体" w:eastAsia="楷体" w:cs="Times New Roman"/>
                <w:kern w:val="2"/>
                <w:sz w:val="24"/>
                <w:szCs w:val="24"/>
                <w:lang w:val="zh-CN" w:eastAsia="zh-CN" w:bidi="ar-SA"/>
              </w:rPr>
              <w:t>杜绝重大工伤事故，制定了管理方案：</w:t>
            </w:r>
          </w:p>
          <w:p>
            <w:pPr>
              <w:pStyle w:val="18"/>
              <w:ind w:left="0" w:leftChars="0" w:firstLine="0" w:firstLineChars="0"/>
              <w:rPr>
                <w:rFonts w:hint="eastAsia" w:ascii="楷体" w:hAnsi="楷体" w:eastAsia="楷体" w:cs="Times New Roman"/>
                <w:kern w:val="2"/>
                <w:sz w:val="24"/>
                <w:szCs w:val="24"/>
                <w:lang w:val="zh-CN" w:eastAsia="zh-CN" w:bidi="ar-SA"/>
              </w:rPr>
            </w:pPr>
            <w:r>
              <w:rPr>
                <w:rFonts w:hint="eastAsia" w:ascii="楷体" w:hAnsi="楷体" w:eastAsia="楷体" w:cs="Times New Roman"/>
                <w:kern w:val="2"/>
                <w:sz w:val="24"/>
                <w:szCs w:val="24"/>
                <w:lang w:val="zh-CN" w:eastAsia="zh-CN" w:bidi="ar-SA"/>
              </w:rPr>
              <w:t>1.加强电线电器设施的管理；</w:t>
            </w:r>
          </w:p>
          <w:p>
            <w:pPr>
              <w:pStyle w:val="18"/>
              <w:ind w:left="0" w:leftChars="0" w:firstLine="0" w:firstLineChars="0"/>
              <w:rPr>
                <w:rFonts w:hint="eastAsia" w:ascii="楷体" w:hAnsi="楷体" w:eastAsia="楷体" w:cs="Times New Roman"/>
                <w:kern w:val="2"/>
                <w:sz w:val="24"/>
                <w:szCs w:val="24"/>
                <w:lang w:val="zh-CN" w:eastAsia="zh-CN" w:bidi="ar-SA"/>
              </w:rPr>
            </w:pPr>
            <w:r>
              <w:rPr>
                <w:rFonts w:hint="eastAsia" w:ascii="楷体" w:hAnsi="楷体" w:eastAsia="楷体" w:cs="Times New Roman"/>
                <w:kern w:val="2"/>
                <w:sz w:val="24"/>
                <w:szCs w:val="24"/>
                <w:lang w:val="zh-CN" w:eastAsia="zh-CN" w:bidi="ar-SA"/>
              </w:rPr>
              <w:t>2.加强日常检查巡视；</w:t>
            </w:r>
          </w:p>
          <w:p>
            <w:pPr>
              <w:pStyle w:val="18"/>
              <w:ind w:left="0" w:leftChars="0" w:firstLine="0" w:firstLineChars="0"/>
              <w:rPr>
                <w:rFonts w:hint="eastAsia" w:ascii="楷体" w:hAnsi="楷体" w:eastAsia="楷体" w:cs="Times New Roman"/>
                <w:kern w:val="2"/>
                <w:sz w:val="24"/>
                <w:szCs w:val="24"/>
                <w:lang w:val="zh-CN" w:eastAsia="zh-CN" w:bidi="ar-SA"/>
              </w:rPr>
            </w:pPr>
            <w:r>
              <w:rPr>
                <w:rFonts w:hint="eastAsia" w:ascii="楷体" w:hAnsi="楷体" w:eastAsia="楷体" w:cs="Times New Roman"/>
                <w:kern w:val="2"/>
                <w:sz w:val="24"/>
                <w:szCs w:val="24"/>
                <w:lang w:val="zh-CN" w:eastAsia="zh-CN" w:bidi="ar-SA"/>
              </w:rPr>
              <w:t>3.对人员进行安全教育培训。</w:t>
            </w:r>
          </w:p>
          <w:p>
            <w:pPr>
              <w:pStyle w:val="18"/>
              <w:ind w:left="0" w:leftChars="0" w:firstLine="0" w:firstLineChars="0"/>
              <w:rPr>
                <w:rFonts w:hint="eastAsia" w:ascii="楷体" w:hAnsi="楷体" w:eastAsia="楷体" w:cs="Times New Roman"/>
                <w:kern w:val="2"/>
                <w:sz w:val="24"/>
                <w:szCs w:val="24"/>
                <w:lang w:val="zh-CN" w:eastAsia="zh-CN" w:bidi="ar-SA"/>
              </w:rPr>
            </w:pPr>
            <w:r>
              <w:rPr>
                <w:rFonts w:hint="eastAsia" w:ascii="楷体" w:hAnsi="楷体" w:eastAsia="楷体" w:cs="Times New Roman"/>
                <w:kern w:val="2"/>
                <w:sz w:val="24"/>
                <w:szCs w:val="24"/>
                <w:lang w:val="zh-CN" w:eastAsia="zh-CN" w:bidi="ar-SA"/>
              </w:rPr>
              <w:t>4专职人员做好监督检查；</w:t>
            </w:r>
          </w:p>
          <w:p>
            <w:pPr>
              <w:pStyle w:val="18"/>
              <w:ind w:left="0" w:leftChars="0" w:firstLine="0" w:firstLineChars="0"/>
              <w:rPr>
                <w:rFonts w:hint="eastAsia" w:ascii="楷体" w:hAnsi="楷体" w:eastAsia="楷体" w:cs="Times New Roman"/>
                <w:kern w:val="2"/>
                <w:sz w:val="24"/>
                <w:szCs w:val="24"/>
                <w:lang w:val="zh-CN" w:eastAsia="zh-CN" w:bidi="ar-SA"/>
              </w:rPr>
            </w:pPr>
            <w:r>
              <w:rPr>
                <w:rFonts w:hint="eastAsia" w:ascii="楷体" w:hAnsi="楷体" w:eastAsia="楷体" w:cs="Times New Roman"/>
                <w:kern w:val="2"/>
                <w:sz w:val="24"/>
                <w:szCs w:val="24"/>
                <w:lang w:val="zh-CN" w:eastAsia="zh-CN" w:bidi="ar-SA"/>
              </w:rPr>
              <w:t>5人员按要求正确佩戴劳保用品；</w:t>
            </w:r>
          </w:p>
          <w:p>
            <w:pPr>
              <w:pStyle w:val="18"/>
              <w:ind w:left="0" w:leftChars="0" w:firstLine="0" w:firstLineChars="0"/>
              <w:rPr>
                <w:rFonts w:hint="eastAsia" w:ascii="楷体" w:hAnsi="楷体" w:eastAsia="楷体" w:cs="Times New Roman"/>
                <w:kern w:val="2"/>
                <w:sz w:val="24"/>
                <w:szCs w:val="24"/>
                <w:lang w:val="zh-CN" w:eastAsia="zh-CN" w:bidi="ar-SA"/>
              </w:rPr>
            </w:pPr>
            <w:r>
              <w:rPr>
                <w:rFonts w:hint="eastAsia" w:ascii="楷体" w:hAnsi="楷体" w:eastAsia="楷体" w:cs="Times New Roman"/>
                <w:kern w:val="2"/>
                <w:sz w:val="24"/>
                <w:szCs w:val="24"/>
                <w:lang w:val="zh-CN" w:eastAsia="zh-CN" w:bidi="ar-SA"/>
              </w:rPr>
              <w:t>6加强设备操作规范培训。</w:t>
            </w:r>
          </w:p>
          <w:p>
            <w:pPr>
              <w:pStyle w:val="18"/>
              <w:ind w:left="0" w:leftChars="0" w:firstLine="0" w:firstLineChars="0"/>
              <w:rPr>
                <w:rFonts w:hint="eastAsia" w:ascii="楷体" w:hAnsi="楷体" w:eastAsia="楷体" w:cs="Times New Roman"/>
                <w:kern w:val="2"/>
                <w:sz w:val="24"/>
                <w:szCs w:val="24"/>
                <w:lang w:val="zh-CN" w:eastAsia="zh-CN" w:bidi="ar-SA"/>
              </w:rPr>
            </w:pPr>
            <w:r>
              <w:rPr>
                <w:rFonts w:hint="eastAsia" w:ascii="楷体" w:hAnsi="楷体" w:eastAsia="楷体" w:cs="Times New Roman"/>
                <w:kern w:val="2"/>
                <w:sz w:val="24"/>
                <w:szCs w:val="24"/>
                <w:lang w:val="zh-CN" w:eastAsia="zh-CN" w:bidi="ar-SA"/>
              </w:rPr>
              <w:t>责任部门：综合部，生技部，长期有效。</w:t>
            </w:r>
          </w:p>
          <w:p>
            <w:pPr>
              <w:pStyle w:val="18"/>
              <w:ind w:left="0" w:leftChars="0" w:firstLine="0" w:firstLineChars="0"/>
              <w:rPr>
                <w:rFonts w:hint="eastAsia"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zh-CN" w:eastAsia="zh-CN" w:bidi="ar-SA"/>
              </w:rPr>
              <w:t>资金预算：</w:t>
            </w:r>
            <w:r>
              <w:rPr>
                <w:rFonts w:hint="eastAsia" w:ascii="楷体" w:hAnsi="楷体" w:eastAsia="楷体" w:cs="Times New Roman"/>
                <w:kern w:val="2"/>
                <w:sz w:val="24"/>
                <w:szCs w:val="24"/>
                <w:lang w:val="en-US" w:eastAsia="zh-CN" w:bidi="ar-SA"/>
              </w:rPr>
              <w:t>3000元整。</w:t>
            </w:r>
          </w:p>
          <w:p>
            <w:pPr>
              <w:pStyle w:val="18"/>
              <w:ind w:left="0" w:leftChars="0" w:firstLine="0" w:firstLineChars="0"/>
              <w:rPr>
                <w:rFonts w:hint="eastAsia"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en-US" w:eastAsia="zh-CN" w:bidi="ar-SA"/>
              </w:rPr>
              <w:t>安全目标指标-职业病发生率为0，制定了管理方案：</w:t>
            </w:r>
          </w:p>
          <w:p>
            <w:pPr>
              <w:pStyle w:val="18"/>
              <w:ind w:left="0" w:leftChars="0" w:firstLine="0" w:firstLineChars="0"/>
              <w:rPr>
                <w:rFonts w:hint="eastAsia"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en-US" w:eastAsia="zh-CN" w:bidi="ar-SA"/>
              </w:rPr>
              <w:t>1.专职人员做好监督检查；</w:t>
            </w:r>
          </w:p>
          <w:p>
            <w:pPr>
              <w:pStyle w:val="18"/>
              <w:ind w:left="0" w:leftChars="0" w:firstLine="0" w:firstLineChars="0"/>
              <w:rPr>
                <w:rFonts w:hint="eastAsia"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en-US" w:eastAsia="zh-CN" w:bidi="ar-SA"/>
              </w:rPr>
              <w:t>2.人员按要求正确佩戴劳保用品；</w:t>
            </w:r>
          </w:p>
          <w:p>
            <w:pPr>
              <w:pStyle w:val="18"/>
              <w:ind w:left="0" w:leftChars="0" w:firstLine="0" w:firstLineChars="0"/>
              <w:rPr>
                <w:rFonts w:hint="eastAsia"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en-US" w:eastAsia="zh-CN" w:bidi="ar-SA"/>
              </w:rPr>
              <w:t>3.加强对员工的安全培训；</w:t>
            </w:r>
          </w:p>
          <w:p>
            <w:pPr>
              <w:pStyle w:val="18"/>
              <w:ind w:left="0" w:leftChars="0" w:firstLine="0" w:firstLineChars="0"/>
              <w:rPr>
                <w:rFonts w:hint="eastAsia"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en-US" w:eastAsia="zh-CN" w:bidi="ar-SA"/>
              </w:rPr>
              <w:t>4.定期安排体验进行了阶段性验收，</w:t>
            </w:r>
          </w:p>
          <w:p>
            <w:pPr>
              <w:pStyle w:val="18"/>
              <w:ind w:left="0" w:leftChars="0" w:firstLine="0" w:firstLineChars="0"/>
              <w:rPr>
                <w:rFonts w:hint="default"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en-US" w:eastAsia="zh-CN" w:bidi="ar-SA"/>
              </w:rPr>
              <w:t>有实际实施情况和费用投入情况。</w:t>
            </w:r>
          </w:p>
          <w:p>
            <w:pPr>
              <w:tabs>
                <w:tab w:val="left" w:pos="1825"/>
              </w:tabs>
              <w:jc w:val="left"/>
              <w:rPr>
                <w:rFonts w:hint="eastAsia" w:ascii="楷体" w:hAnsi="楷体" w:eastAsia="楷体"/>
                <w:sz w:val="24"/>
                <w:szCs w:val="24"/>
                <w:lang w:eastAsia="zh-CN"/>
              </w:rPr>
            </w:pPr>
            <w:r>
              <w:rPr>
                <w:rFonts w:hint="eastAsia" w:ascii="楷体" w:hAnsi="楷体" w:eastAsia="楷体" w:cs="Times New Roman"/>
                <w:sz w:val="24"/>
                <w:szCs w:val="24"/>
                <w:lang w:eastAsia="zh-CN"/>
              </w:rPr>
              <w:t>安全</w:t>
            </w:r>
            <w:r>
              <w:rPr>
                <w:rFonts w:hint="eastAsia" w:ascii="楷体" w:hAnsi="楷体" w:eastAsia="楷体" w:cs="Times New Roman"/>
                <w:sz w:val="24"/>
                <w:szCs w:val="24"/>
              </w:rPr>
              <w:t>目标</w:t>
            </w:r>
            <w:r>
              <w:rPr>
                <w:rFonts w:hint="eastAsia" w:ascii="楷体" w:hAnsi="楷体" w:eastAsia="楷体" w:cs="Times New Roman"/>
                <w:sz w:val="24"/>
                <w:szCs w:val="24"/>
                <w:lang w:eastAsia="zh-CN"/>
              </w:rPr>
              <w:t>指标</w:t>
            </w:r>
            <w:r>
              <w:rPr>
                <w:rFonts w:hint="eastAsia" w:ascii="楷体" w:hAnsi="楷体" w:eastAsia="楷体" w:cs="Times New Roman"/>
                <w:sz w:val="24"/>
                <w:szCs w:val="24"/>
              </w:rPr>
              <w:t>制定了管理</w:t>
            </w:r>
            <w:r>
              <w:rPr>
                <w:rFonts w:hint="eastAsia" w:ascii="楷体" w:hAnsi="楷体" w:eastAsia="楷体"/>
                <w:sz w:val="24"/>
                <w:szCs w:val="24"/>
              </w:rPr>
              <w:t>方案，落实了相应的控制措施、负责人、完成时间等。</w:t>
            </w:r>
            <w:r>
              <w:rPr>
                <w:rFonts w:hint="eastAsia" w:ascii="楷体" w:hAnsi="楷体" w:eastAsia="楷体"/>
                <w:sz w:val="24"/>
                <w:szCs w:val="24"/>
                <w:lang w:eastAsia="zh-CN"/>
              </w:rPr>
              <w:t>符合要求。</w:t>
            </w:r>
          </w:p>
        </w:tc>
        <w:tc>
          <w:tcPr>
            <w:tcW w:w="457" w:type="dxa"/>
          </w:tcPr>
          <w:p>
            <w:pPr>
              <w:rPr>
                <w:rFonts w:hint="eastAsia" w:ascii="楷体" w:hAnsi="楷体" w:eastAsia="楷体"/>
                <w:sz w:val="24"/>
                <w:szCs w:val="24"/>
                <w:lang w:val="en-US" w:eastAsia="zh-CN"/>
              </w:rPr>
            </w:pPr>
            <w:r>
              <w:rPr>
                <w:rFonts w:hint="eastAsia" w:ascii="楷体" w:hAnsi="楷体" w:eastAsia="楷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22" w:type="dxa"/>
          </w:tcPr>
          <w:p>
            <w:pPr>
              <w:rPr>
                <w:rFonts w:ascii="楷体" w:hAnsi="楷体" w:eastAsia="楷体"/>
                <w:sz w:val="24"/>
                <w:szCs w:val="24"/>
              </w:rPr>
            </w:pPr>
            <w:r>
              <w:rPr>
                <w:rFonts w:hint="eastAsia" w:ascii="楷体" w:hAnsi="楷体" w:eastAsia="楷体"/>
                <w:sz w:val="24"/>
                <w:szCs w:val="24"/>
              </w:rPr>
              <w:t>人员、</w:t>
            </w:r>
          </w:p>
          <w:p>
            <w:pPr>
              <w:rPr>
                <w:rFonts w:ascii="楷体" w:hAnsi="楷体" w:eastAsia="楷体"/>
                <w:sz w:val="24"/>
                <w:szCs w:val="24"/>
              </w:rPr>
            </w:pPr>
            <w:r>
              <w:rPr>
                <w:rFonts w:hint="eastAsia" w:ascii="楷体" w:hAnsi="楷体" w:eastAsia="楷体"/>
                <w:sz w:val="24"/>
                <w:szCs w:val="24"/>
              </w:rPr>
              <w:t>能力、</w:t>
            </w:r>
          </w:p>
          <w:p>
            <w:pPr>
              <w:rPr>
                <w:rFonts w:ascii="楷体" w:hAnsi="楷体" w:eastAsia="楷体"/>
                <w:bCs/>
                <w:sz w:val="24"/>
                <w:szCs w:val="24"/>
              </w:rPr>
            </w:pPr>
            <w:r>
              <w:rPr>
                <w:rFonts w:hint="eastAsia" w:ascii="楷体" w:hAnsi="楷体" w:eastAsia="楷体"/>
                <w:sz w:val="24"/>
                <w:szCs w:val="24"/>
              </w:rPr>
              <w:t>意识</w:t>
            </w:r>
          </w:p>
          <w:p>
            <w:pPr>
              <w:rPr>
                <w:rFonts w:ascii="楷体" w:hAnsi="楷体" w:eastAsia="楷体"/>
                <w:sz w:val="24"/>
                <w:szCs w:val="24"/>
              </w:rPr>
            </w:pPr>
          </w:p>
        </w:tc>
        <w:tc>
          <w:tcPr>
            <w:tcW w:w="885" w:type="dxa"/>
          </w:tcPr>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O7.2</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O7.3</w:t>
            </w:r>
          </w:p>
          <w:p>
            <w:pPr>
              <w:tabs>
                <w:tab w:val="left" w:pos="1825"/>
              </w:tabs>
              <w:jc w:val="left"/>
              <w:rPr>
                <w:rFonts w:hint="eastAsia" w:ascii="楷体" w:hAnsi="楷体" w:eastAsia="楷体" w:cs="Times New Roman"/>
                <w:sz w:val="24"/>
                <w:szCs w:val="24"/>
                <w:lang w:val="en-US" w:eastAsia="zh-CN"/>
              </w:rPr>
            </w:pPr>
          </w:p>
        </w:tc>
        <w:tc>
          <w:tcPr>
            <w:tcW w:w="12045" w:type="dxa"/>
          </w:tcPr>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高韦主任介绍，综合部负责人力资源管理工作，根据公司制定的《岗位人员任职要求》，确定岗位资格要求并进行招聘和管理；会同各部门做好培训需求调查以及结合公司的考核结果，编制</w:t>
            </w:r>
            <w:r>
              <w:rPr>
                <w:rFonts w:hint="eastAsia" w:ascii="楷体" w:hAnsi="楷体" w:eastAsia="楷体" w:cs="Times New Roman"/>
                <w:sz w:val="24"/>
                <w:szCs w:val="24"/>
                <w:lang w:val="en-US" w:eastAsia="zh-CN"/>
              </w:rPr>
              <w:fldChar w:fldCharType="begin"/>
            </w:r>
            <w:r>
              <w:rPr>
                <w:rFonts w:hint="eastAsia" w:ascii="楷体" w:hAnsi="楷体" w:eastAsia="楷体" w:cs="Times New Roman"/>
                <w:sz w:val="24"/>
                <w:szCs w:val="24"/>
                <w:lang w:val="en-US" w:eastAsia="zh-CN"/>
              </w:rPr>
              <w:instrText xml:space="preserve"> HYPERLINK "http://www.kesum.cn/zx" \t "_blank" </w:instrText>
            </w:r>
            <w:r>
              <w:rPr>
                <w:rFonts w:hint="eastAsia" w:ascii="楷体" w:hAnsi="楷体" w:eastAsia="楷体" w:cs="Times New Roman"/>
                <w:sz w:val="24"/>
                <w:szCs w:val="24"/>
                <w:lang w:val="en-US" w:eastAsia="zh-CN"/>
              </w:rPr>
              <w:fldChar w:fldCharType="separate"/>
            </w:r>
            <w:r>
              <w:rPr>
                <w:rFonts w:hint="eastAsia" w:ascii="楷体" w:hAnsi="楷体" w:eastAsia="楷体" w:cs="Times New Roman"/>
                <w:sz w:val="24"/>
                <w:szCs w:val="24"/>
                <w:lang w:val="en-US" w:eastAsia="zh-CN"/>
              </w:rPr>
              <w:t>培训</w:t>
            </w:r>
            <w:r>
              <w:rPr>
                <w:rFonts w:hint="eastAsia" w:ascii="楷体" w:hAnsi="楷体" w:eastAsia="楷体" w:cs="Times New Roman"/>
                <w:sz w:val="24"/>
                <w:szCs w:val="24"/>
                <w:lang w:val="en-US" w:eastAsia="zh-CN"/>
              </w:rPr>
              <w:fldChar w:fldCharType="end"/>
            </w:r>
            <w:r>
              <w:rPr>
                <w:rFonts w:hint="eastAsia" w:ascii="楷体" w:hAnsi="楷体" w:eastAsia="楷体" w:cs="Times New Roman"/>
                <w:sz w:val="24"/>
                <w:szCs w:val="24"/>
                <w:lang w:val="en-US" w:eastAsia="zh-CN"/>
              </w:rPr>
              <w:t>计划并组织实施。</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目前公司人数43人，管理人员5人，给综合部和生技部配置了所需人员，通过培训和其他措施提高员工的能力，增强员工的职业健康安全管理的意识和能力，使员工满足所从事职业健康安全工作对能力的要求，以胜任其工作岗位。</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查《岗位人员任职要求》，对总经理、综合部、生技部等人员工作能力权限、任职要求与内容等做出了规定。</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 xml:space="preserve">  提供了《2021年安全培训计划》和《2022年安全培训计划》，提供了《培训需求调查表》及《培训计划及内容》《教育培训台账》。截至目前已按计划实施。</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查培训记录：。</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抽培训记录：法律法规培训，培训时间：2022.1.10，培训内容：新安全生产法教育培训，安全生产标准化考评标准培训，危险源管理办法和措施，职业卫生防护；培训效果：领导层重视程度提高，提高了安全知识水平，培训有效。主讲人：郑文博。参加人员：郑文汇、李环晔等6人</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抽培训记录：风险管控与隐患治理教育，培训时间：2022.3.9，培训内容：风险管控台账，管理制度和安全操作规程，风险管控职责，安全生产风险管控与隐患治理台账等，培训效果：经提问，掌握了培训内筒，培训有效。主讲人：郑文博，参加人员：全员。</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——抽培训内容：内审员培训，培训时间：2021.12.25，培训效果：内审控制程序、内审检查表的编制、内审报告的编制、三体系标准等，经提问，回答正确。验证人：高韦</w:t>
            </w:r>
          </w:p>
          <w:p>
            <w:pPr>
              <w:pStyle w:val="6"/>
              <w:ind w:left="0" w:leftChars="0" w:firstLine="0" w:firstLineChars="0"/>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查2022年3.10日进行了岗位安全操作规程的培训，培训后安排了岗位安全操作规程培训考试，提供了试卷十余份，考试成绩均合格。</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另查职业卫生培训，领导层安全教育培训，管理方针目标员工安全意识培训，等已按计划完成。</w:t>
            </w:r>
          </w:p>
          <w:p>
            <w:pPr>
              <w:pStyle w:val="2"/>
              <w:rPr>
                <w:rFonts w:hint="default"/>
                <w:lang w:val="en-US" w:eastAsia="zh-CN"/>
              </w:rPr>
            </w:pPr>
            <w:r>
              <w:rPr>
                <w:rFonts w:hint="eastAsia" w:ascii="楷体" w:hAnsi="楷体" w:eastAsia="楷体" w:cs="Times New Roman"/>
                <w:sz w:val="24"/>
                <w:szCs w:val="24"/>
                <w:lang w:val="en-US" w:eastAsia="zh-CN"/>
              </w:rPr>
              <w:t>新员工三级安全教育在新员工上岗之前逐步进行，考核合格后上岗操作。特殊岗位人员持证上岗。</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查特殊岗位人员：电工，祁国志，证号：T411329198908142539，河北省应急管理厅</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叉车工，任建伟，证件编号：410223199307056512，安平行政审批局</w:t>
            </w:r>
          </w:p>
          <w:p>
            <w:pPr>
              <w:pStyle w:val="6"/>
              <w:ind w:left="0" w:leftChars="0" w:firstLine="0" w:firstLineChars="0"/>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食堂从业人员提供了健康证：</w:t>
            </w:r>
          </w:p>
          <w:p>
            <w:pPr>
              <w:pStyle w:val="5"/>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汪桂琴，从业类别：餐饮，证号：202100385，有效期至2022.6.14</w:t>
            </w:r>
          </w:p>
          <w:p>
            <w:pPr>
              <w:pStyle w:val="6"/>
              <w:ind w:left="0" w:leftChars="0" w:firstLine="0" w:firstLineChars="0"/>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姜玉香，从业类别：餐饮，证号：202100383，有效期至2022.6.14</w:t>
            </w:r>
          </w:p>
          <w:p>
            <w:pPr>
              <w:pStyle w:val="6"/>
              <w:ind w:left="0" w:leftChars="0" w:firstLine="0" w:firstLineChars="0"/>
              <w:rPr>
                <w:rFonts w:hint="eastAsia"/>
                <w:lang w:val="en-US" w:eastAsia="zh-CN"/>
              </w:rPr>
            </w:pPr>
            <w:r>
              <w:rPr>
                <w:rFonts w:hint="eastAsia" w:ascii="楷体" w:hAnsi="楷体" w:eastAsia="楷体" w:cs="Times New Roman"/>
                <w:sz w:val="24"/>
                <w:szCs w:val="24"/>
                <w:lang w:val="en-US" w:eastAsia="zh-CN"/>
              </w:rPr>
              <w:t>孙桂芹，从业类别：餐饮，证号：202100386，有效期至2022.6.14</w:t>
            </w:r>
          </w:p>
          <w:p>
            <w:pPr>
              <w:pStyle w:val="6"/>
              <w:ind w:left="0" w:leftChars="0" w:firstLine="0" w:firstLineChars="0"/>
              <w:rPr>
                <w:rFonts w:hint="eastAsia"/>
                <w:lang w:val="en-US" w:eastAsia="zh-CN"/>
              </w:rPr>
            </w:pPr>
            <w:r>
              <w:rPr>
                <w:rFonts w:hint="eastAsia"/>
                <w:lang w:val="en-US" w:eastAsia="zh-CN"/>
              </w:rPr>
              <w:drawing>
                <wp:inline distT="0" distB="0" distL="114300" distR="114300">
                  <wp:extent cx="869950" cy="822325"/>
                  <wp:effectExtent l="0" t="0" r="6350" b="15875"/>
                  <wp:docPr id="8" name="图片 8" descr="1648784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8784954(1)"/>
                          <pic:cNvPicPr>
                            <a:picLocks noChangeAspect="1"/>
                          </pic:cNvPicPr>
                        </pic:nvPicPr>
                        <pic:blipFill>
                          <a:blip r:embed="rId6"/>
                          <a:stretch>
                            <a:fillRect/>
                          </a:stretch>
                        </pic:blipFill>
                        <pic:spPr>
                          <a:xfrm>
                            <a:off x="0" y="0"/>
                            <a:ext cx="869950" cy="822325"/>
                          </a:xfrm>
                          <a:prstGeom prst="rect">
                            <a:avLst/>
                          </a:prstGeom>
                        </pic:spPr>
                      </pic:pic>
                    </a:graphicData>
                  </a:graphic>
                </wp:inline>
              </w:drawing>
            </w:r>
            <w:r>
              <w:rPr>
                <w:rFonts w:hint="eastAsia"/>
                <w:lang w:val="en-US" w:eastAsia="zh-CN"/>
              </w:rPr>
              <w:drawing>
                <wp:inline distT="0" distB="0" distL="114300" distR="114300">
                  <wp:extent cx="1189990" cy="750570"/>
                  <wp:effectExtent l="0" t="0" r="10160" b="11430"/>
                  <wp:docPr id="4" name="图片 4" descr="1648784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8784810(1)"/>
                          <pic:cNvPicPr>
                            <a:picLocks noChangeAspect="1"/>
                          </pic:cNvPicPr>
                        </pic:nvPicPr>
                        <pic:blipFill>
                          <a:blip r:embed="rId7"/>
                          <a:stretch>
                            <a:fillRect/>
                          </a:stretch>
                        </pic:blipFill>
                        <pic:spPr>
                          <a:xfrm>
                            <a:off x="0" y="0"/>
                            <a:ext cx="1189990" cy="750570"/>
                          </a:xfrm>
                          <a:prstGeom prst="rect">
                            <a:avLst/>
                          </a:prstGeom>
                        </pic:spPr>
                      </pic:pic>
                    </a:graphicData>
                  </a:graphic>
                </wp:inline>
              </w:drawing>
            </w:r>
            <w:r>
              <w:rPr>
                <w:rFonts w:hint="eastAsia"/>
                <w:lang w:val="en-US" w:eastAsia="zh-CN"/>
              </w:rPr>
              <w:drawing>
                <wp:inline distT="0" distB="0" distL="114300" distR="114300">
                  <wp:extent cx="1308735" cy="884555"/>
                  <wp:effectExtent l="0" t="0" r="5715" b="10795"/>
                  <wp:docPr id="9" name="图片 9" descr="1648785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8785281(1)"/>
                          <pic:cNvPicPr>
                            <a:picLocks noChangeAspect="1"/>
                          </pic:cNvPicPr>
                        </pic:nvPicPr>
                        <pic:blipFill>
                          <a:blip r:embed="rId8"/>
                          <a:stretch>
                            <a:fillRect/>
                          </a:stretch>
                        </pic:blipFill>
                        <pic:spPr>
                          <a:xfrm>
                            <a:off x="0" y="0"/>
                            <a:ext cx="1308735" cy="884555"/>
                          </a:xfrm>
                          <a:prstGeom prst="rect">
                            <a:avLst/>
                          </a:prstGeom>
                        </pic:spPr>
                      </pic:pic>
                    </a:graphicData>
                  </a:graphic>
                </wp:inline>
              </w:drawing>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自体系运行以来人员没有变化。</w:t>
            </w:r>
          </w:p>
        </w:tc>
        <w:tc>
          <w:tcPr>
            <w:tcW w:w="457" w:type="dxa"/>
          </w:tcPr>
          <w:p>
            <w:pPr>
              <w:rPr>
                <w:rFonts w:hint="eastAsia" w:ascii="楷体" w:hAnsi="楷体" w:eastAsia="楷体"/>
                <w:sz w:val="24"/>
                <w:szCs w:val="24"/>
                <w:lang w:val="en-US" w:eastAsia="zh-CN"/>
              </w:rPr>
            </w:pPr>
            <w:r>
              <w:rPr>
                <w:rFonts w:hint="eastAsia" w:ascii="楷体" w:hAnsi="楷体" w:eastAsia="楷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22" w:type="dxa"/>
          </w:tcPr>
          <w:p>
            <w:pPr>
              <w:rPr>
                <w:rFonts w:ascii="楷体" w:hAnsi="楷体" w:eastAsia="楷体"/>
                <w:bCs/>
                <w:sz w:val="24"/>
                <w:szCs w:val="24"/>
              </w:rPr>
            </w:pPr>
            <w:r>
              <w:rPr>
                <w:rFonts w:hint="eastAsia" w:ascii="楷体" w:hAnsi="楷体" w:eastAsia="楷体"/>
                <w:sz w:val="24"/>
                <w:szCs w:val="24"/>
              </w:rPr>
              <w:t>信息交流、沟通</w:t>
            </w:r>
          </w:p>
        </w:tc>
        <w:tc>
          <w:tcPr>
            <w:tcW w:w="885" w:type="dxa"/>
          </w:tcPr>
          <w:p>
            <w:pPr>
              <w:rPr>
                <w:rFonts w:hint="eastAsia"/>
                <w:sz w:val="24"/>
                <w:szCs w:val="24"/>
                <w:lang w:eastAsia="zh-CN"/>
              </w:rPr>
            </w:pPr>
            <w:r>
              <w:rPr>
                <w:rFonts w:hint="eastAsia"/>
                <w:sz w:val="24"/>
                <w:szCs w:val="24"/>
                <w:lang w:eastAsia="zh-CN"/>
              </w:rPr>
              <w:t>O</w:t>
            </w:r>
          </w:p>
          <w:p>
            <w:pPr>
              <w:rPr>
                <w:rFonts w:hint="eastAsia"/>
                <w:sz w:val="24"/>
                <w:szCs w:val="24"/>
              </w:rPr>
            </w:pPr>
            <w:r>
              <w:rPr>
                <w:rFonts w:hint="eastAsia"/>
                <w:sz w:val="24"/>
                <w:szCs w:val="24"/>
              </w:rPr>
              <w:t>7.4</w:t>
            </w:r>
          </w:p>
          <w:p>
            <w:pPr>
              <w:pStyle w:val="2"/>
              <w:rPr>
                <w:rFonts w:hint="default" w:eastAsia="楷体"/>
                <w:sz w:val="24"/>
                <w:szCs w:val="24"/>
                <w:lang w:val="en-US" w:eastAsia="zh-CN"/>
              </w:rPr>
            </w:pPr>
          </w:p>
        </w:tc>
        <w:tc>
          <w:tcPr>
            <w:tcW w:w="12045" w:type="dxa"/>
          </w:tcPr>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编制了《沟通协商与参与控制程序》，高韦介绍公司目前人员稳定，各部门之间、岗位之间以及与外部供方、客户、外包方及相关方之间建立了与体系有关的信息通渠沟道，借助于会议、电话、口头交流等方式使全体员工达到沟通和理解。目前各部门协调一致，工作上的接口基本顺畅。</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与政府监管部门、周围相关方、顾客、供应商等外部相关方，采用电话、微信、申请、传真、相关网站等方式，以便将质量、企业环境、职业健康安全相关信息进行外部交流与沟通。</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查见外来人员入厂安全告知，以及与相关方签订的安全生产管理协议书，对职业健康安全须知进行了传达。</w:t>
            </w:r>
          </w:p>
          <w:p>
            <w:pPr>
              <w:tabs>
                <w:tab w:val="left" w:pos="1825"/>
              </w:tabs>
              <w:jc w:val="left"/>
              <w:rPr>
                <w:rFonts w:hint="default"/>
                <w:sz w:val="24"/>
                <w:szCs w:val="24"/>
                <w:lang w:val="en-US" w:eastAsia="zh-CN"/>
              </w:rPr>
            </w:pPr>
            <w:r>
              <w:rPr>
                <w:rFonts w:hint="eastAsia" w:ascii="楷体" w:hAnsi="楷体" w:eastAsia="楷体" w:cs="Times New Roman"/>
                <w:sz w:val="24"/>
                <w:szCs w:val="24"/>
                <w:lang w:val="en-US" w:eastAsia="zh-CN"/>
              </w:rPr>
              <w:t>提供了《信息交流记录表》，内部培训，相关方告知，培训，任命等信息处理和沟通结果进行了登记。</w:t>
            </w:r>
          </w:p>
        </w:tc>
        <w:tc>
          <w:tcPr>
            <w:tcW w:w="457" w:type="dxa"/>
          </w:tcPr>
          <w:p>
            <w:pPr>
              <w:rPr>
                <w:rFonts w:hint="default" w:ascii="楷体" w:hAnsi="楷体" w:eastAsia="楷体"/>
                <w:sz w:val="24"/>
                <w:szCs w:val="24"/>
                <w:lang w:val="en-US" w:eastAsia="zh-CN"/>
              </w:rPr>
            </w:pPr>
            <w:r>
              <w:rPr>
                <w:rFonts w:hint="eastAsia" w:ascii="楷体" w:hAnsi="楷体" w:eastAsia="楷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22" w:type="dxa"/>
            <w:vAlign w:val="center"/>
          </w:tcPr>
          <w:p>
            <w:pPr>
              <w:rPr>
                <w:rFonts w:ascii="楷体" w:hAnsi="楷体" w:eastAsia="楷体"/>
                <w:sz w:val="24"/>
                <w:szCs w:val="24"/>
              </w:rPr>
            </w:pPr>
            <w:r>
              <w:rPr>
                <w:rFonts w:hint="eastAsia" w:ascii="楷体" w:hAnsi="楷体" w:eastAsia="楷体"/>
                <w:sz w:val="24"/>
                <w:szCs w:val="24"/>
              </w:rPr>
              <w:t>文件化信息</w:t>
            </w:r>
          </w:p>
          <w:p>
            <w:pPr>
              <w:rPr>
                <w:rFonts w:ascii="楷体" w:hAnsi="楷体" w:eastAsia="楷体"/>
                <w:bCs/>
                <w:sz w:val="24"/>
                <w:szCs w:val="24"/>
              </w:rPr>
            </w:pPr>
            <w:r>
              <w:rPr>
                <w:rFonts w:hint="eastAsia" w:ascii="楷体" w:hAnsi="楷体" w:eastAsia="楷体"/>
                <w:sz w:val="24"/>
                <w:szCs w:val="24"/>
              </w:rPr>
              <w:t>文件总则/管理手册、文件和记录控制</w:t>
            </w:r>
          </w:p>
        </w:tc>
        <w:tc>
          <w:tcPr>
            <w:tcW w:w="885" w:type="dxa"/>
            <w:vAlign w:val="center"/>
          </w:tcPr>
          <w:p>
            <w:pPr>
              <w:rPr>
                <w:rFonts w:hint="eastAsia" w:ascii="楷体" w:hAnsi="楷体" w:eastAsia="楷体"/>
                <w:sz w:val="24"/>
                <w:szCs w:val="24"/>
                <w:lang w:eastAsia="zh-CN"/>
              </w:rPr>
            </w:pPr>
            <w:r>
              <w:rPr>
                <w:rFonts w:hint="eastAsia" w:ascii="楷体" w:hAnsi="楷体" w:eastAsia="楷体"/>
                <w:sz w:val="24"/>
                <w:szCs w:val="24"/>
                <w:lang w:eastAsia="zh-CN"/>
              </w:rPr>
              <w:t>O</w:t>
            </w:r>
          </w:p>
          <w:p>
            <w:pPr>
              <w:rPr>
                <w:rFonts w:ascii="楷体" w:hAnsi="楷体" w:eastAsia="楷体"/>
                <w:sz w:val="24"/>
                <w:szCs w:val="24"/>
              </w:rPr>
            </w:pPr>
            <w:r>
              <w:rPr>
                <w:rFonts w:hint="eastAsia" w:ascii="楷体" w:hAnsi="楷体" w:eastAsia="楷体"/>
                <w:sz w:val="24"/>
                <w:szCs w:val="24"/>
              </w:rPr>
              <w:t>7.5</w:t>
            </w:r>
          </w:p>
        </w:tc>
        <w:tc>
          <w:tcPr>
            <w:tcW w:w="12045" w:type="dxa"/>
            <w:vAlign w:val="center"/>
          </w:tcPr>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sym w:font="Wingdings 2" w:char="F098"/>
            </w:r>
            <w:r>
              <w:rPr>
                <w:rFonts w:hint="eastAsia" w:ascii="楷体" w:hAnsi="楷体" w:eastAsia="楷体" w:cs="Times New Roman"/>
                <w:sz w:val="24"/>
                <w:szCs w:val="24"/>
                <w:lang w:val="en-US" w:eastAsia="zh-CN"/>
              </w:rPr>
              <w:t>受审核方建立的管理体系文件包括2部分：</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1）标准要求的文件：公司方针、质量目标、认证范围、组织架构、职责分工等均在《管理手册》中明确。</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2）公司体系运行要求的文件：公司管理制度，产品标准，各种记录等文件。</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sym w:font="Wingdings 2" w:char="F098"/>
            </w:r>
            <w:r>
              <w:rPr>
                <w:rFonts w:hint="eastAsia" w:ascii="楷体" w:hAnsi="楷体" w:eastAsia="楷体" w:cs="Times New Roman"/>
                <w:sz w:val="24"/>
                <w:szCs w:val="24"/>
                <w:lang w:val="en-US" w:eastAsia="zh-CN"/>
              </w:rPr>
              <w:t>企业编制了《文件控制程序》，《记录控制程序》用于文件,记录的控制。提供了《受控文件清单》，受控文件4个：</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《管理手册》HYJJ-QEOM-2021，版本A/0,实施日期：2021年10月8日；</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《程序文件》HYJJ-QEOP-2021，版本A/0,包含程序文件28份，实施日期：2021年10月8日；</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《三级文件》HYJJ-SJ-2021，版本A/0,含各项管理制度14项，实施日期：2021年10月8日；</w:t>
            </w:r>
          </w:p>
          <w:p>
            <w:pPr>
              <w:tabs>
                <w:tab w:val="left" w:pos="1825"/>
              </w:tabs>
              <w:jc w:val="left"/>
              <w:rPr>
                <w:rFonts w:hint="default" w:ascii="楷体" w:hAnsi="楷体" w:eastAsia="楷体" w:cs="Times New Roman"/>
                <w:bCs w:val="0"/>
                <w:spacing w:val="0"/>
                <w:kern w:val="2"/>
                <w:sz w:val="24"/>
                <w:szCs w:val="24"/>
                <w:lang w:val="en-US" w:eastAsia="zh-CN" w:bidi="ar-SA"/>
              </w:rPr>
            </w:pPr>
            <w:r>
              <w:rPr>
                <w:rFonts w:hint="eastAsia" w:ascii="楷体" w:hAnsi="楷体" w:eastAsia="楷体" w:cs="Times New Roman"/>
                <w:sz w:val="24"/>
                <w:szCs w:val="24"/>
                <w:lang w:val="en-US" w:eastAsia="zh-CN"/>
              </w:rPr>
              <w:sym w:font="Wingdings 2" w:char="F098"/>
            </w:r>
            <w:r>
              <w:rPr>
                <w:rFonts w:hint="eastAsia" w:ascii="楷体" w:hAnsi="楷体" w:eastAsia="楷体" w:cs="Times New Roman"/>
                <w:sz w:val="24"/>
                <w:szCs w:val="24"/>
                <w:lang w:val="en-US" w:eastAsia="zh-CN"/>
              </w:rPr>
              <w:t>提供了《外来文件清单》，收录了《中华人民共和国民法典》、</w:t>
            </w:r>
            <w:r>
              <w:rPr>
                <w:rFonts w:hint="default" w:ascii="楷体" w:hAnsi="楷体" w:eastAsia="楷体" w:cs="Times New Roman"/>
                <w:bCs w:val="0"/>
                <w:spacing w:val="0"/>
                <w:kern w:val="2"/>
                <w:sz w:val="24"/>
                <w:szCs w:val="24"/>
                <w:lang w:val="en-US" w:eastAsia="zh-CN" w:bidi="ar-SA"/>
              </w:rPr>
              <w:t>GB/T3342-2008《木家具通用技术条件》</w:t>
            </w:r>
          </w:p>
          <w:p>
            <w:pPr>
              <w:pStyle w:val="2"/>
              <w:rPr>
                <w:rFonts w:hint="eastAsia" w:ascii="楷体" w:hAnsi="楷体" w:eastAsia="楷体" w:cs="Times New Roman"/>
                <w:bCs w:val="0"/>
                <w:spacing w:val="0"/>
                <w:kern w:val="2"/>
                <w:sz w:val="24"/>
                <w:szCs w:val="24"/>
                <w:lang w:val="en-US" w:eastAsia="zh-CN" w:bidi="ar-SA"/>
              </w:rPr>
            </w:pPr>
            <w:r>
              <w:rPr>
                <w:rFonts w:hint="default" w:ascii="楷体" w:hAnsi="楷体" w:eastAsia="楷体" w:cs="Times New Roman"/>
                <w:bCs w:val="0"/>
                <w:spacing w:val="0"/>
                <w:kern w:val="2"/>
                <w:sz w:val="24"/>
                <w:szCs w:val="24"/>
                <w:lang w:val="en-US" w:eastAsia="zh-CN" w:bidi="ar-SA"/>
              </w:rPr>
              <w:t>GB 18584-2001 《室内装饰装修材料 木家具中有害物质限量》</w:t>
            </w:r>
            <w:r>
              <w:rPr>
                <w:rFonts w:hint="eastAsia" w:ascii="楷体" w:hAnsi="楷体" w:eastAsia="楷体" w:cs="Times New Roman"/>
                <w:bCs w:val="0"/>
                <w:spacing w:val="0"/>
                <w:kern w:val="2"/>
                <w:sz w:val="24"/>
                <w:szCs w:val="24"/>
                <w:lang w:val="en-US" w:eastAsia="zh-CN" w:bidi="ar-SA"/>
              </w:rPr>
              <w:t>等标准</w:t>
            </w:r>
          </w:p>
          <w:p>
            <w:pPr>
              <w:pStyle w:val="2"/>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提供了《职业健康安全法律法规清单》，收集了适用的安全法律法规清单：</w:t>
            </w:r>
          </w:p>
          <w:p>
            <w:pPr>
              <w:pStyle w:val="2"/>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作业场所职业健康管理暂行规定</w:t>
            </w:r>
          </w:p>
          <w:p>
            <w:pPr>
              <w:pStyle w:val="2"/>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企业职工伤亡事故调查分析规则</w:t>
            </w:r>
          </w:p>
          <w:p>
            <w:pPr>
              <w:pStyle w:val="2"/>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女职工禁忌劳动范围的规定</w:t>
            </w:r>
          </w:p>
          <w:p>
            <w:pPr>
              <w:pStyle w:val="2"/>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工作场所有害因素职业接触限值</w:t>
            </w:r>
          </w:p>
          <w:p>
            <w:pPr>
              <w:pStyle w:val="2"/>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中华人民共和国妇女权益保障法</w:t>
            </w:r>
          </w:p>
          <w:p>
            <w:pPr>
              <w:pStyle w:val="2"/>
              <w:rPr>
                <w:rFonts w:hint="default" w:ascii="楷体" w:hAnsi="楷体" w:eastAsia="楷体" w:cs="Times New Roman"/>
                <w:bCs w:val="0"/>
                <w:spacing w:val="0"/>
                <w:kern w:val="2"/>
                <w:sz w:val="24"/>
                <w:szCs w:val="24"/>
                <w:lang w:val="en-US" w:eastAsia="zh-CN" w:bidi="ar-SA"/>
              </w:rPr>
            </w:pPr>
            <w:r>
              <w:rPr>
                <w:rFonts w:hint="default" w:ascii="楷体" w:hAnsi="楷体" w:eastAsia="楷体" w:cs="Times New Roman"/>
                <w:bCs w:val="0"/>
                <w:spacing w:val="0"/>
                <w:kern w:val="2"/>
                <w:sz w:val="24"/>
                <w:szCs w:val="24"/>
                <w:lang w:val="en-US" w:eastAsia="zh-CN" w:bidi="ar-SA"/>
              </w:rPr>
              <w:t>中华人民共和国职业病防治法</w:t>
            </w:r>
          </w:p>
          <w:p>
            <w:pPr>
              <w:pStyle w:val="2"/>
              <w:rPr>
                <w:rFonts w:hint="default" w:ascii="楷体" w:hAnsi="楷体" w:eastAsia="楷体" w:cs="Times New Roman"/>
                <w:bCs w:val="0"/>
                <w:spacing w:val="0"/>
                <w:kern w:val="2"/>
                <w:sz w:val="24"/>
                <w:szCs w:val="24"/>
                <w:lang w:val="en-US" w:eastAsia="zh-CN" w:bidi="ar-SA"/>
              </w:rPr>
            </w:pPr>
            <w:r>
              <w:rPr>
                <w:rFonts w:hint="default" w:ascii="楷体" w:hAnsi="楷体" w:eastAsia="楷体" w:cs="Times New Roman"/>
                <w:bCs w:val="0"/>
                <w:spacing w:val="0"/>
                <w:kern w:val="2"/>
                <w:sz w:val="24"/>
                <w:szCs w:val="24"/>
                <w:lang w:val="en-US" w:eastAsia="zh-CN" w:bidi="ar-SA"/>
              </w:rPr>
              <w:t>中华人民共和国妇女权益保障法</w:t>
            </w:r>
          </w:p>
          <w:p>
            <w:pPr>
              <w:pStyle w:val="2"/>
              <w:rPr>
                <w:rFonts w:hint="default" w:ascii="楷体" w:hAnsi="楷体" w:eastAsia="楷体" w:cs="Times New Roman"/>
                <w:bCs w:val="0"/>
                <w:spacing w:val="0"/>
                <w:kern w:val="2"/>
                <w:sz w:val="24"/>
                <w:szCs w:val="24"/>
                <w:lang w:val="en-US" w:eastAsia="zh-CN" w:bidi="ar-SA"/>
              </w:rPr>
            </w:pPr>
            <w:r>
              <w:rPr>
                <w:rFonts w:hint="default" w:ascii="楷体" w:hAnsi="楷体" w:eastAsia="楷体" w:cs="Times New Roman"/>
                <w:bCs w:val="0"/>
                <w:spacing w:val="0"/>
                <w:kern w:val="2"/>
                <w:sz w:val="24"/>
                <w:szCs w:val="24"/>
                <w:lang w:val="en-US" w:eastAsia="zh-CN" w:bidi="ar-SA"/>
              </w:rPr>
              <w:t>中华人民共和国安全生产法</w:t>
            </w:r>
          </w:p>
          <w:p>
            <w:pPr>
              <w:pStyle w:val="2"/>
              <w:rPr>
                <w:rFonts w:hint="default"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sym w:font="Wingdings 2" w:char="F098"/>
            </w:r>
            <w:r>
              <w:rPr>
                <w:rFonts w:hint="eastAsia" w:ascii="楷体" w:hAnsi="楷体" w:eastAsia="楷体" w:cs="Times New Roman"/>
                <w:sz w:val="24"/>
                <w:szCs w:val="24"/>
                <w:lang w:val="en-US" w:eastAsia="zh-CN"/>
              </w:rPr>
              <w:t xml:space="preserve">提供了《记录清单》总计82种，收编了记录的名称、编号、保存期限等信息。 </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sym w:font="Wingdings 2" w:char="F098"/>
            </w:r>
            <w:r>
              <w:rPr>
                <w:rFonts w:hint="eastAsia" w:ascii="楷体" w:hAnsi="楷体" w:eastAsia="楷体" w:cs="Times New Roman"/>
                <w:sz w:val="24"/>
                <w:szCs w:val="24"/>
                <w:lang w:val="en-US" w:eastAsia="zh-CN"/>
              </w:rPr>
              <w:t>查文件发放登记表，提供了受控文件及外来文件的发放记录，记录了发放人，接收人签字及日期。现场查看办公室，收到了质量手册，程序文件和三级文件。</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sym w:font="Wingdings 2" w:char="F098"/>
            </w:r>
            <w:r>
              <w:rPr>
                <w:rFonts w:hint="eastAsia" w:ascii="楷体" w:hAnsi="楷体" w:eastAsia="楷体" w:cs="Times New Roman"/>
                <w:sz w:val="24"/>
                <w:szCs w:val="24"/>
                <w:lang w:val="en-US" w:eastAsia="zh-CN"/>
              </w:rPr>
              <w:t>查作废文件：《管理手册》和《文件控制程序》对作废文件做出了相关规定。经与高韦主任沟通，体系运行以来，没有作废文件。</w:t>
            </w:r>
          </w:p>
          <w:p>
            <w:pPr>
              <w:tabs>
                <w:tab w:val="left" w:pos="1825"/>
              </w:tabs>
              <w:jc w:val="left"/>
              <w:rPr>
                <w:rFonts w:hint="eastAsia" w:ascii="楷体" w:hAnsi="楷体" w:eastAsia="楷体"/>
                <w:sz w:val="24"/>
                <w:szCs w:val="24"/>
                <w:lang w:eastAsia="zh-CN"/>
              </w:rPr>
            </w:pPr>
            <w:r>
              <w:rPr>
                <w:rFonts w:hint="eastAsia" w:ascii="楷体" w:hAnsi="楷体" w:eastAsia="楷体" w:cs="Times New Roman"/>
                <w:sz w:val="24"/>
                <w:szCs w:val="24"/>
                <w:lang w:val="en-US" w:eastAsia="zh-CN"/>
              </w:rPr>
              <w:sym w:font="Wingdings 2" w:char="F098"/>
            </w:r>
            <w:r>
              <w:rPr>
                <w:rFonts w:hint="eastAsia" w:ascii="楷体" w:hAnsi="楷体" w:eastAsia="楷体" w:cs="Times New Roman"/>
                <w:sz w:val="24"/>
                <w:szCs w:val="24"/>
                <w:lang w:val="en-US" w:eastAsia="zh-CN"/>
              </w:rPr>
              <w:t>查文件的保存：现场查见：综合部配有文件柜，各种文件均分类保存在文件柜中，便于检索和查询。综合部定期对其进行检查，目前保存完好。</w:t>
            </w:r>
          </w:p>
        </w:tc>
        <w:tc>
          <w:tcPr>
            <w:tcW w:w="457" w:type="dxa"/>
          </w:tcPr>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default" w:ascii="楷体" w:hAnsi="楷体" w:eastAsia="楷体"/>
                <w:sz w:val="24"/>
                <w:szCs w:val="24"/>
                <w:lang w:val="en-US" w:eastAsia="zh-CN"/>
              </w:rPr>
            </w:pPr>
            <w:r>
              <w:rPr>
                <w:rFonts w:hint="eastAsia" w:ascii="楷体" w:hAnsi="楷体" w:eastAsia="楷体"/>
                <w:sz w:val="24"/>
                <w:szCs w:val="24"/>
                <w:lang w:val="en-US" w:eastAsia="zh-CN"/>
              </w:rPr>
              <w:t>Y</w:t>
            </w: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default"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22" w:type="dxa"/>
            <w:vAlign w:val="center"/>
          </w:tcPr>
          <w:p>
            <w:pPr>
              <w:rPr>
                <w:rFonts w:hint="eastAsia" w:ascii="楷体" w:hAnsi="楷体" w:eastAsia="楷体"/>
                <w:sz w:val="24"/>
                <w:szCs w:val="24"/>
                <w:lang w:eastAsia="zh-CN"/>
              </w:rPr>
            </w:pPr>
            <w:r>
              <w:rPr>
                <w:rFonts w:hint="eastAsia" w:ascii="楷体" w:hAnsi="楷体" w:eastAsia="楷体"/>
                <w:sz w:val="24"/>
                <w:szCs w:val="24"/>
                <w:lang w:eastAsia="zh-CN"/>
              </w:rPr>
              <w:t>绩效评价总则</w:t>
            </w:r>
          </w:p>
        </w:tc>
        <w:tc>
          <w:tcPr>
            <w:tcW w:w="885" w:type="dxa"/>
            <w:vAlign w:val="center"/>
          </w:tcPr>
          <w:p>
            <w:pPr>
              <w:rPr>
                <w:rFonts w:hint="eastAsia" w:ascii="楷体" w:hAnsi="楷体" w:eastAsia="楷体"/>
                <w:sz w:val="24"/>
                <w:szCs w:val="24"/>
                <w:lang w:val="en-US" w:eastAsia="zh-CN"/>
              </w:rPr>
            </w:pPr>
            <w:r>
              <w:rPr>
                <w:rFonts w:hint="eastAsia" w:ascii="楷体" w:hAnsi="楷体" w:eastAsia="楷体"/>
                <w:sz w:val="24"/>
                <w:szCs w:val="24"/>
                <w:lang w:val="en-US" w:eastAsia="zh-CN"/>
              </w:rPr>
              <w:t>O</w:t>
            </w:r>
          </w:p>
          <w:p>
            <w:pPr>
              <w:rPr>
                <w:rFonts w:hint="default" w:ascii="楷体" w:hAnsi="楷体" w:eastAsia="楷体"/>
                <w:sz w:val="24"/>
                <w:szCs w:val="24"/>
                <w:lang w:val="en-US" w:eastAsia="zh-CN"/>
              </w:rPr>
            </w:pPr>
            <w:r>
              <w:rPr>
                <w:rFonts w:hint="eastAsia" w:ascii="楷体" w:hAnsi="楷体" w:eastAsia="楷体"/>
                <w:sz w:val="24"/>
                <w:szCs w:val="24"/>
                <w:lang w:val="en-US" w:eastAsia="zh-CN"/>
              </w:rPr>
              <w:t>9.1.1</w:t>
            </w:r>
          </w:p>
        </w:tc>
        <w:tc>
          <w:tcPr>
            <w:tcW w:w="12045" w:type="dxa"/>
            <w:vAlign w:val="center"/>
          </w:tcPr>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编制了《监视与测量控制程序》，通过以下几种方式对运行过程进行监视和测量：</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●该公司对管理体系过程进行监视和测量的方法包括：内审、管理评审、目标考核、过程的监视和测量检查等。</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内审、管理评审、目标考核详见相关审核记录.</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按要求进行了应急演练，演练结束后有对其有效性的评价，具体演练情况见8.2条款记录。进行了安全法律法规合规性评价，提供了合规性评价报告，具体见9.1.2条款记录。</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日常监督检查：每月进行一次过程的监视和测量的检查，发现问题立即整改。管代负责对各部门的环境职业健康安全行为进行不定期的巡检。有《安全检查记录表》每周进行安全检查，《管理体系运行检查和监督记录》，内容包括：环境因素/危险源、固废排放及回收、消防器材配备、劳保用品配备、能力、培训和意识、信息交流、文件控制等。厂区门口设置了来客登记表，厂区和办公室每日消杀。</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特种设备叉车，提供了《特种设备使用登记证》，登记机关：安平县行政审批局，发证日期：2021年9月10日。提供了《叉车定期（首次）检验报告》，签发日期：2021年6月2日，报告编号：冀特NCJJ1820210806，检验结论：合格，下次定期检验日期：2022年06月。叉车工证件有效。</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提供了储气罐安全法校验报告，报告编号：WX-AF-2021-M09847，校验结果：合格，检验机构：江苏省特种设备安全监督检验院，签发日期：2021年6月18日。下次校验日期：2022年6月16日。</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提供了储气罐特种设备制造监督检验证书，及合格证，设备代码：217010N91201900021，制造日期2019年12月24日，许可级别：B4（1）、D1、D2。</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●职业健康安全监测：每年对员工进行体检，体检单位：安平县中医医院，对接触有害因素：噪声、木粉尘安排了检查，体检报告日期：2021年5月7日，体检人数33人，结论：未发现职业禁忌症和职业疾病。</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提供了职业病危害因素检测报告，检测单位：河北宝隆检验检测技术有限公司，编号：012021PJ0334，检测了木粉尘，噪声等，均在合格范围内。</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为员工缴纳了工商、医疗保险，提供了完税证明。</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自体系建立以来没有发生过重大安全事故。</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●提供了《新建建筑物防雷装置检测报告》，报告编号：雷（检）字第HBBS0320210235号，检测日期：2021年8月11日。符合规范。</w:t>
            </w:r>
          </w:p>
          <w:p>
            <w:pPr>
              <w:tabs>
                <w:tab w:val="left" w:pos="1825"/>
              </w:tabs>
              <w:jc w:val="left"/>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2022年1月11日住建局消防科来企业现场进行了消防验收，提出了整改意见，目前企业已整改，待住建局消防科现场验收后出具消防验收意见，。</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●监测设备：公司暂无职业健康安全监测设备。</w:t>
            </w:r>
          </w:p>
          <w:p>
            <w:pPr>
              <w:pStyle w:val="2"/>
              <w:rPr>
                <w:rFonts w:hint="eastAsia" w:cs="宋体"/>
                <w:lang w:val="en-US" w:eastAsia="zh-CN"/>
              </w:rPr>
            </w:pPr>
            <w:r>
              <w:rPr>
                <w:rFonts w:hint="eastAsia" w:eastAsia="宋体" w:cs="宋体"/>
                <w:lang w:eastAsia="zh-CN"/>
              </w:rPr>
              <w:drawing>
                <wp:inline distT="0" distB="0" distL="114300" distR="114300">
                  <wp:extent cx="1331595" cy="1773555"/>
                  <wp:effectExtent l="0" t="0" r="1905" b="4445"/>
                  <wp:docPr id="2" name="图片 2" descr="1648801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8801462(1)"/>
                          <pic:cNvPicPr>
                            <a:picLocks noChangeAspect="1"/>
                          </pic:cNvPicPr>
                        </pic:nvPicPr>
                        <pic:blipFill>
                          <a:blip r:embed="rId9"/>
                          <a:stretch>
                            <a:fillRect/>
                          </a:stretch>
                        </pic:blipFill>
                        <pic:spPr>
                          <a:xfrm>
                            <a:off x="0" y="0"/>
                            <a:ext cx="1331595" cy="1773555"/>
                          </a:xfrm>
                          <a:prstGeom prst="rect">
                            <a:avLst/>
                          </a:prstGeom>
                        </pic:spPr>
                      </pic:pic>
                    </a:graphicData>
                  </a:graphic>
                </wp:inline>
              </w:drawing>
            </w:r>
            <w:r>
              <w:drawing>
                <wp:inline distT="0" distB="0" distL="114300" distR="114300">
                  <wp:extent cx="1433830" cy="1932940"/>
                  <wp:effectExtent l="0" t="0" r="127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433830" cy="1932940"/>
                          </a:xfrm>
                          <a:prstGeom prst="rect">
                            <a:avLst/>
                          </a:prstGeom>
                          <a:noFill/>
                          <a:ln>
                            <a:noFill/>
                          </a:ln>
                        </pic:spPr>
                      </pic:pic>
                    </a:graphicData>
                  </a:graphic>
                </wp:inline>
              </w:drawing>
            </w:r>
            <w:r>
              <w:drawing>
                <wp:inline distT="0" distB="0" distL="114300" distR="114300">
                  <wp:extent cx="1450340" cy="1874520"/>
                  <wp:effectExtent l="0" t="0" r="1016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1450340" cy="1874520"/>
                          </a:xfrm>
                          <a:prstGeom prst="rect">
                            <a:avLst/>
                          </a:prstGeom>
                          <a:noFill/>
                          <a:ln>
                            <a:noFill/>
                          </a:ln>
                        </pic:spPr>
                      </pic:pic>
                    </a:graphicData>
                  </a:graphic>
                </wp:inline>
              </w:drawing>
            </w:r>
            <w:r>
              <w:rPr>
                <w:rFonts w:hint="eastAsia" w:eastAsia="宋体" w:cs="宋体"/>
                <w:lang w:eastAsia="zh-CN"/>
              </w:rPr>
              <w:drawing>
                <wp:inline distT="0" distB="0" distL="114300" distR="114300">
                  <wp:extent cx="1416685" cy="1873250"/>
                  <wp:effectExtent l="0" t="0" r="5715" b="6350"/>
                  <wp:docPr id="6" name="图片 6" descr="164880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8802016(1)"/>
                          <pic:cNvPicPr>
                            <a:picLocks noChangeAspect="1"/>
                          </pic:cNvPicPr>
                        </pic:nvPicPr>
                        <pic:blipFill>
                          <a:blip r:embed="rId12"/>
                          <a:stretch>
                            <a:fillRect/>
                          </a:stretch>
                        </pic:blipFill>
                        <pic:spPr>
                          <a:xfrm>
                            <a:off x="0" y="0"/>
                            <a:ext cx="1416685" cy="1873250"/>
                          </a:xfrm>
                          <a:prstGeom prst="rect">
                            <a:avLst/>
                          </a:prstGeom>
                        </pic:spPr>
                      </pic:pic>
                    </a:graphicData>
                  </a:graphic>
                </wp:inline>
              </w:drawing>
            </w:r>
            <w:r>
              <w:rPr>
                <w:rFonts w:hint="eastAsia" w:cs="宋体"/>
                <w:lang w:val="en-US" w:eastAsia="zh-CN"/>
              </w:rPr>
              <w:drawing>
                <wp:inline distT="0" distB="0" distL="114300" distR="114300">
                  <wp:extent cx="1499235" cy="1905000"/>
                  <wp:effectExtent l="0" t="0" r="5715" b="0"/>
                  <wp:docPr id="11" name="图片 11" descr="1648802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8802095(1)"/>
                          <pic:cNvPicPr>
                            <a:picLocks noChangeAspect="1"/>
                          </pic:cNvPicPr>
                        </pic:nvPicPr>
                        <pic:blipFill>
                          <a:blip r:embed="rId13"/>
                          <a:stretch>
                            <a:fillRect/>
                          </a:stretch>
                        </pic:blipFill>
                        <pic:spPr>
                          <a:xfrm>
                            <a:off x="0" y="0"/>
                            <a:ext cx="1499235" cy="1905000"/>
                          </a:xfrm>
                          <a:prstGeom prst="rect">
                            <a:avLst/>
                          </a:prstGeom>
                        </pic:spPr>
                      </pic:pic>
                    </a:graphicData>
                  </a:graphic>
                </wp:inline>
              </w:drawing>
            </w:r>
            <w:r>
              <w:rPr>
                <w:rFonts w:hint="eastAsia" w:cs="宋体"/>
                <w:lang w:val="en-US" w:eastAsia="zh-CN"/>
              </w:rPr>
              <w:drawing>
                <wp:inline distT="0" distB="0" distL="114300" distR="114300">
                  <wp:extent cx="1217295" cy="1870710"/>
                  <wp:effectExtent l="0" t="0" r="1905" b="15240"/>
                  <wp:docPr id="12" name="图片 12" descr="1648802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8802217(1)"/>
                          <pic:cNvPicPr>
                            <a:picLocks noChangeAspect="1"/>
                          </pic:cNvPicPr>
                        </pic:nvPicPr>
                        <pic:blipFill>
                          <a:blip r:embed="rId14"/>
                          <a:stretch>
                            <a:fillRect/>
                          </a:stretch>
                        </pic:blipFill>
                        <pic:spPr>
                          <a:xfrm>
                            <a:off x="0" y="0"/>
                            <a:ext cx="1217295" cy="1870710"/>
                          </a:xfrm>
                          <a:prstGeom prst="rect">
                            <a:avLst/>
                          </a:prstGeom>
                        </pic:spPr>
                      </pic:pic>
                    </a:graphicData>
                  </a:graphic>
                </wp:inline>
              </w:drawing>
            </w:r>
            <w:r>
              <w:rPr>
                <w:rFonts w:hint="eastAsia" w:cs="宋体"/>
                <w:lang w:val="en-US" w:eastAsia="zh-CN"/>
              </w:rPr>
              <w:drawing>
                <wp:inline distT="0" distB="0" distL="114300" distR="114300">
                  <wp:extent cx="1161415" cy="1977390"/>
                  <wp:effectExtent l="0" t="0" r="635" b="3810"/>
                  <wp:docPr id="13" name="图片 13" descr="1648802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8802349(1)"/>
                          <pic:cNvPicPr>
                            <a:picLocks noChangeAspect="1"/>
                          </pic:cNvPicPr>
                        </pic:nvPicPr>
                        <pic:blipFill>
                          <a:blip r:embed="rId15"/>
                          <a:stretch>
                            <a:fillRect/>
                          </a:stretch>
                        </pic:blipFill>
                        <pic:spPr>
                          <a:xfrm>
                            <a:off x="0" y="0"/>
                            <a:ext cx="1161415" cy="1977390"/>
                          </a:xfrm>
                          <a:prstGeom prst="rect">
                            <a:avLst/>
                          </a:prstGeom>
                        </pic:spPr>
                      </pic:pic>
                    </a:graphicData>
                  </a:graphic>
                </wp:inline>
              </w:drawing>
            </w:r>
            <w:r>
              <w:rPr>
                <w:rFonts w:hint="eastAsia" w:cs="宋体"/>
                <w:lang w:val="en-US" w:eastAsia="zh-CN"/>
              </w:rPr>
              <w:drawing>
                <wp:inline distT="0" distB="0" distL="114300" distR="114300">
                  <wp:extent cx="1410970" cy="1911985"/>
                  <wp:effectExtent l="0" t="0" r="17780" b="12065"/>
                  <wp:docPr id="7" name="图片 7" descr="1648802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8802064(1)"/>
                          <pic:cNvPicPr>
                            <a:picLocks noChangeAspect="1"/>
                          </pic:cNvPicPr>
                        </pic:nvPicPr>
                        <pic:blipFill>
                          <a:blip r:embed="rId16"/>
                          <a:stretch>
                            <a:fillRect/>
                          </a:stretch>
                        </pic:blipFill>
                        <pic:spPr>
                          <a:xfrm>
                            <a:off x="0" y="0"/>
                            <a:ext cx="1410970" cy="1911985"/>
                          </a:xfrm>
                          <a:prstGeom prst="rect">
                            <a:avLst/>
                          </a:prstGeom>
                        </pic:spPr>
                      </pic:pic>
                    </a:graphicData>
                  </a:graphic>
                </wp:inline>
              </w:drawing>
            </w:r>
          </w:p>
        </w:tc>
        <w:tc>
          <w:tcPr>
            <w:tcW w:w="457" w:type="dxa"/>
          </w:tcPr>
          <w:p>
            <w:pPr>
              <w:rPr>
                <w:rFonts w:hint="default" w:ascii="楷体" w:hAnsi="楷体" w:eastAsia="楷体"/>
                <w:sz w:val="24"/>
                <w:szCs w:val="24"/>
                <w:lang w:val="en-US" w:eastAsia="zh-CN"/>
              </w:rPr>
            </w:pPr>
            <w:r>
              <w:rPr>
                <w:rFonts w:hint="eastAsia" w:ascii="楷体" w:hAnsi="楷体" w:eastAsia="楷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22"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内审</w:t>
            </w:r>
          </w:p>
        </w:tc>
        <w:tc>
          <w:tcPr>
            <w:tcW w:w="885"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9.2</w:t>
            </w:r>
          </w:p>
        </w:tc>
        <w:tc>
          <w:tcPr>
            <w:tcW w:w="12045" w:type="dxa"/>
            <w:vAlign w:val="center"/>
          </w:tcPr>
          <w:p>
            <w:pPr>
              <w:tabs>
                <w:tab w:val="left" w:pos="1825"/>
              </w:tabs>
              <w:ind w:firstLine="480" w:firstLineChars="200"/>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内审依据公司《内部审核控制程序》进行，每年至少一次，要求覆盖本公司管理体系所有要求，特殊情况可以追加内审。</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查最近一次内审：</w:t>
            </w:r>
          </w:p>
          <w:p>
            <w:pPr>
              <w:pStyle w:val="2"/>
              <w:ind w:firstLine="480" w:firstLineChars="200"/>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提供了《2022年度内审计划》编制时间：2022年1月8日，李环晔，批准：郑文汇，计划涵盖审核目的，范围，依据 ，审核方法，审核组成员，日程安排</w:t>
            </w:r>
          </w:p>
          <w:p>
            <w:pPr>
              <w:ind w:firstLine="480" w:firstLineChars="200"/>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提供了内审员任命书，审核组：李环晔、高韦，内审员进行了内审培训，有培训记录，现场询问，李环晔熟悉内审流程。</w:t>
            </w:r>
          </w:p>
          <w:p>
            <w:pPr>
              <w:pStyle w:val="2"/>
              <w:ind w:firstLine="480" w:firstLineChars="200"/>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查内部审核实施计划，计划编制合理，无漏条款现象。2022年1月15日组织实施了内审，查审核记录《内审检查表》审核内容基本符合规定。有内审首/末次会议记录，记录了会议主要内容。</w:t>
            </w:r>
          </w:p>
          <w:p>
            <w:pPr>
              <w:pStyle w:val="2"/>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提供了《内部审核报告》，审核目的，范围，审核过程，体系运行情况，审核结论。审核结论：在不符合项采取了纠正措施并验证其有效性后，本公司质量、环境和职业健康安全管理体系的有效性、适宜性和符合性将有所提高，质量、环境和职业健康安全管理体系文件得到了有效的实施和保持。</w:t>
            </w:r>
          </w:p>
          <w:p>
            <w:pPr>
              <w:ind w:firstLine="480" w:firstLineChars="200"/>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本次内审提出不符合项1项，查见《内审不符合项报告》，不符合分布在办公室，不符合事实：审核发现，不能提供对劳保用品供方“</w:t>
            </w:r>
            <w:r>
              <w:rPr>
                <w:rFonts w:hint="eastAsia" w:ascii="楷体" w:hAnsi="楷体" w:eastAsia="楷体" w:cs="Times New Roman"/>
                <w:bCs w:val="0"/>
                <w:spacing w:val="0"/>
                <w:kern w:val="2"/>
                <w:sz w:val="24"/>
                <w:szCs w:val="24"/>
                <w:lang w:val="en-US" w:eastAsia="zh-CN" w:bidi="ar-SA"/>
              </w:rPr>
              <w:fldChar w:fldCharType="begin"/>
            </w:r>
            <w:r>
              <w:rPr>
                <w:rFonts w:hint="eastAsia" w:ascii="楷体" w:hAnsi="楷体" w:eastAsia="楷体" w:cs="Times New Roman"/>
                <w:bCs w:val="0"/>
                <w:spacing w:val="0"/>
                <w:kern w:val="2"/>
                <w:sz w:val="24"/>
                <w:szCs w:val="24"/>
                <w:lang w:val="en-US" w:eastAsia="zh-CN" w:bidi="ar-SA"/>
              </w:rPr>
              <w:instrText xml:space="preserve"> HYPERLINK "http://shanghai085650.11467.com/" </w:instrText>
            </w:r>
            <w:r>
              <w:rPr>
                <w:rFonts w:hint="eastAsia" w:ascii="楷体" w:hAnsi="楷体" w:eastAsia="楷体" w:cs="Times New Roman"/>
                <w:bCs w:val="0"/>
                <w:spacing w:val="0"/>
                <w:kern w:val="2"/>
                <w:sz w:val="24"/>
                <w:szCs w:val="24"/>
                <w:lang w:val="en-US" w:eastAsia="zh-CN" w:bidi="ar-SA"/>
              </w:rPr>
              <w:fldChar w:fldCharType="separate"/>
            </w:r>
            <w:r>
              <w:rPr>
                <w:rFonts w:hint="eastAsia" w:ascii="楷体" w:hAnsi="楷体" w:eastAsia="楷体" w:cs="Times New Roman"/>
                <w:bCs w:val="0"/>
                <w:spacing w:val="0"/>
                <w:kern w:val="2"/>
                <w:sz w:val="24"/>
                <w:szCs w:val="24"/>
                <w:lang w:val="en-US" w:eastAsia="zh-CN" w:bidi="ar-SA"/>
              </w:rPr>
              <w:t>3M中国有限公司</w:t>
            </w:r>
            <w:r>
              <w:rPr>
                <w:rFonts w:hint="eastAsia" w:ascii="楷体" w:hAnsi="楷体" w:eastAsia="楷体" w:cs="Times New Roman"/>
                <w:bCs w:val="0"/>
                <w:spacing w:val="0"/>
                <w:kern w:val="2"/>
                <w:sz w:val="24"/>
                <w:szCs w:val="24"/>
                <w:lang w:val="en-US" w:eastAsia="zh-CN" w:bidi="ar-SA"/>
              </w:rPr>
              <w:fldChar w:fldCharType="end"/>
            </w:r>
            <w:r>
              <w:rPr>
                <w:rFonts w:hint="eastAsia" w:ascii="楷体" w:hAnsi="楷体" w:eastAsia="楷体" w:cs="Times New Roman"/>
                <w:bCs w:val="0"/>
                <w:spacing w:val="0"/>
                <w:kern w:val="2"/>
                <w:sz w:val="24"/>
                <w:szCs w:val="24"/>
                <w:lang w:val="en-US" w:eastAsia="zh-CN" w:bidi="ar-SA"/>
              </w:rPr>
              <w:t>”供方评价及施加环境和安全影响的证据；纠正措施：1.加强对 GB/T24001-2016标准8.1条款、GB/T45001-2020标准8.1.4条款、管理手册及相关程序文件有关要求的学习和正确实施；2.补充供方评价和实施环境和安全影响的证据；</w:t>
            </w:r>
          </w:p>
          <w:p>
            <w:pPr>
              <w:spacing w:line="260" w:lineRule="exact"/>
              <w:ind w:firstLine="480" w:firstLineChars="200"/>
              <w:jc w:val="left"/>
              <w:rPr>
                <w:rFonts w:hint="default"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纠正措施已实施，验证人：李环晔，2022-1-16。</w:t>
            </w:r>
          </w:p>
          <w:p>
            <w:pPr>
              <w:pStyle w:val="2"/>
              <w:ind w:firstLine="480" w:firstLineChars="200"/>
              <w:rPr>
                <w:rFonts w:hint="default"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en-US" w:eastAsia="zh-CN" w:bidi="ar-SA"/>
              </w:rPr>
              <w:t>审核员没有审核自己部门工作，具有独立性。内审符合要求。</w:t>
            </w:r>
          </w:p>
          <w:p>
            <w:pPr>
              <w:pStyle w:val="2"/>
              <w:rPr>
                <w:rFonts w:hint="default" w:ascii="楷体" w:hAnsi="楷体" w:eastAsia="楷体" w:cs="Times New Roman"/>
                <w:bCs w:val="0"/>
                <w:spacing w:val="0"/>
                <w:kern w:val="2"/>
                <w:sz w:val="24"/>
                <w:szCs w:val="24"/>
                <w:lang w:val="en-US" w:eastAsia="zh-CN" w:bidi="ar-SA"/>
              </w:rPr>
            </w:pPr>
          </w:p>
        </w:tc>
        <w:tc>
          <w:tcPr>
            <w:tcW w:w="457" w:type="dxa"/>
          </w:tcPr>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22" w:type="dxa"/>
            <w:vAlign w:val="center"/>
          </w:tcPr>
          <w:p>
            <w:pPr>
              <w:rPr>
                <w:rFonts w:hint="eastAsia" w:ascii="楷体" w:hAnsi="楷体" w:eastAsia="楷体"/>
                <w:sz w:val="24"/>
                <w:szCs w:val="24"/>
                <w:lang w:eastAsia="zh-CN"/>
              </w:rPr>
            </w:pPr>
            <w:r>
              <w:rPr>
                <w:rFonts w:hint="eastAsia" w:ascii="楷体" w:hAnsi="楷体" w:eastAsia="楷体"/>
                <w:sz w:val="24"/>
                <w:szCs w:val="24"/>
                <w:lang w:eastAsia="zh-CN"/>
              </w:rPr>
              <w:t>不符合纠正措施</w:t>
            </w:r>
          </w:p>
        </w:tc>
        <w:tc>
          <w:tcPr>
            <w:tcW w:w="885" w:type="dxa"/>
            <w:vAlign w:val="center"/>
          </w:tcPr>
          <w:p>
            <w:pPr>
              <w:rPr>
                <w:rFonts w:hint="eastAsia" w:ascii="楷体" w:hAnsi="楷体" w:eastAsia="楷体"/>
                <w:sz w:val="24"/>
                <w:szCs w:val="24"/>
                <w:lang w:val="en-US" w:eastAsia="zh-CN"/>
              </w:rPr>
            </w:pPr>
            <w:r>
              <w:rPr>
                <w:rFonts w:hint="eastAsia" w:ascii="楷体" w:hAnsi="楷体" w:eastAsia="楷体"/>
                <w:sz w:val="24"/>
                <w:szCs w:val="24"/>
                <w:lang w:val="en-US" w:eastAsia="zh-CN"/>
              </w:rPr>
              <w:t>O</w:t>
            </w:r>
          </w:p>
          <w:p>
            <w:pPr>
              <w:rPr>
                <w:rFonts w:hint="default" w:ascii="楷体" w:hAnsi="楷体" w:eastAsia="楷体"/>
                <w:sz w:val="24"/>
                <w:szCs w:val="24"/>
                <w:lang w:val="en-US" w:eastAsia="zh-CN"/>
              </w:rPr>
            </w:pPr>
            <w:r>
              <w:rPr>
                <w:rFonts w:hint="eastAsia" w:ascii="楷体" w:hAnsi="楷体" w:eastAsia="楷体"/>
                <w:sz w:val="24"/>
                <w:szCs w:val="24"/>
                <w:lang w:val="en-US" w:eastAsia="zh-CN"/>
              </w:rPr>
              <w:t>10.2</w:t>
            </w:r>
          </w:p>
        </w:tc>
        <w:tc>
          <w:tcPr>
            <w:tcW w:w="12045" w:type="dxa"/>
            <w:vAlign w:val="center"/>
          </w:tcPr>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 xml:space="preserve">公司执行《不合格和纠正措施控制程序》、《事件调查和处理控制程序》，对事故事件报告、调查、处理等以及纠正措施制定、实施、验证作了规定，其内容符合标准及组织实际要求。 </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查纠正措施实施情况：</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对内审中提出不合格项进行了原因分析,并制定、实施了纠正措施，并由内审员对所采取的纠正措施进行了验证，纠正措施有效，管理评审中发现的薄弱环节，分析了原因，采取了纠正措施。</w:t>
            </w:r>
          </w:p>
          <w:p>
            <w:pPr>
              <w:tabs>
                <w:tab w:val="left" w:pos="1825"/>
              </w:tabs>
              <w:jc w:val="left"/>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企业纠正和预防措施的管理符合标准规定要求。</w:t>
            </w:r>
          </w:p>
        </w:tc>
        <w:tc>
          <w:tcPr>
            <w:tcW w:w="457" w:type="dxa"/>
          </w:tcPr>
          <w:p>
            <w:pPr>
              <w:rPr>
                <w:rFonts w:hint="default" w:ascii="楷体" w:hAnsi="楷体" w:eastAsia="楷体"/>
                <w:sz w:val="24"/>
                <w:szCs w:val="24"/>
                <w:lang w:val="en-US" w:eastAsia="zh-CN"/>
              </w:rPr>
            </w:pPr>
            <w:r>
              <w:rPr>
                <w:rFonts w:hint="eastAsia" w:ascii="楷体" w:hAnsi="楷体" w:eastAsia="楷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22" w:type="dxa"/>
            <w:vAlign w:val="center"/>
          </w:tcPr>
          <w:p>
            <w:pPr>
              <w:rPr>
                <w:rFonts w:hint="eastAsia" w:ascii="楷体" w:hAnsi="楷体" w:eastAsia="楷体"/>
                <w:sz w:val="24"/>
                <w:szCs w:val="24"/>
                <w:lang w:val="en-US" w:eastAsia="zh-CN"/>
              </w:rPr>
            </w:pPr>
          </w:p>
        </w:tc>
        <w:tc>
          <w:tcPr>
            <w:tcW w:w="885" w:type="dxa"/>
            <w:vAlign w:val="center"/>
          </w:tcPr>
          <w:p>
            <w:pPr>
              <w:rPr>
                <w:rFonts w:hint="eastAsia" w:ascii="楷体" w:hAnsi="楷体" w:eastAsia="楷体"/>
                <w:sz w:val="24"/>
                <w:szCs w:val="24"/>
                <w:lang w:val="en-US" w:eastAsia="zh-CN"/>
              </w:rPr>
            </w:pPr>
          </w:p>
        </w:tc>
        <w:tc>
          <w:tcPr>
            <w:tcW w:w="12045" w:type="dxa"/>
            <w:vAlign w:val="center"/>
          </w:tcPr>
          <w:p>
            <w:pPr>
              <w:pStyle w:val="2"/>
              <w:rPr>
                <w:rFonts w:hint="default" w:ascii="楷体" w:hAnsi="楷体" w:eastAsia="楷体" w:cs="Times New Roman"/>
                <w:bCs w:val="0"/>
                <w:spacing w:val="0"/>
                <w:kern w:val="2"/>
                <w:sz w:val="24"/>
                <w:szCs w:val="24"/>
                <w:lang w:val="en-US" w:eastAsia="zh-CN" w:bidi="ar-SA"/>
              </w:rPr>
            </w:pPr>
          </w:p>
        </w:tc>
        <w:tc>
          <w:tcPr>
            <w:tcW w:w="457" w:type="dxa"/>
          </w:tcPr>
          <w:p>
            <w:pPr>
              <w:rPr>
                <w:rFonts w:hint="eastAsia" w:ascii="楷体" w:hAnsi="楷体" w:eastAsia="楷体"/>
                <w:sz w:val="24"/>
                <w:szCs w:val="24"/>
                <w:lang w:val="en-US" w:eastAsia="zh-CN"/>
              </w:rPr>
            </w:pPr>
          </w:p>
        </w:tc>
      </w:tr>
    </w:tbl>
    <w:p>
      <w:pPr>
        <w:pStyle w:val="11"/>
      </w:pPr>
      <w:r>
        <w:rPr>
          <w:rFonts w:hint="eastAsia"/>
        </w:rPr>
        <w:t>说明：不符合标注</w:t>
      </w:r>
      <w:r>
        <w:t>N</w:t>
      </w:r>
      <w:bookmarkStart w:id="2" w:name="_GoBack"/>
      <w:bookmarkEnd w:id="2"/>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1"/>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left" w:pos="8910"/>
        <w:tab w:val="left" w:pos="9142"/>
        <w:tab w:val="clear" w:pos="4153"/>
      </w:tabs>
      <w:spacing w:line="320" w:lineRule="exact"/>
      <w:ind w:left="-86" w:leftChars="-41" w:firstLine="810" w:firstLineChars="450"/>
      <w:jc w:val="left"/>
      <w:rPr>
        <w:rStyle w:val="2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-140335</wp:posOffset>
          </wp:positionV>
          <wp:extent cx="485775" cy="485775"/>
          <wp:effectExtent l="19050" t="0" r="9525" b="0"/>
          <wp:wrapTopAndBottom/>
          <wp:docPr id="10"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22"/>
        <w:rFonts w:hint="default"/>
      </w:rPr>
      <w:t>北京国标联合认证有限公司</w:t>
    </w:r>
    <w:r>
      <w:rPr>
        <w:rStyle w:val="22"/>
        <w:rFonts w:hint="default"/>
      </w:rPr>
      <w:tab/>
    </w:r>
    <w:r>
      <w:rPr>
        <w:rStyle w:val="22"/>
        <w:rFonts w:hint="default"/>
      </w:rPr>
      <w:tab/>
    </w:r>
    <w:r>
      <w:rPr>
        <w:rStyle w:val="22"/>
        <w:rFonts w:hint="default"/>
      </w:rPr>
      <w:tab/>
    </w:r>
  </w:p>
  <w:p>
    <w:pPr>
      <w:pStyle w:val="12"/>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1" name="文本框 1025"/>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a:noFill/>
                      </a:ln>
                    </wps:spPr>
                    <wps:txbx>
                      <w:txbxContent>
                        <w:p>
                          <w:r>
                            <w:rPr>
                              <w:rFonts w:hint="eastAsia"/>
                              <w:sz w:val="18"/>
                              <w:szCs w:val="18"/>
                            </w:rPr>
                            <w:t xml:space="preserve"> ISC-B-II-12(05版)</w:t>
                          </w:r>
                        </w:p>
                      </w:txbxContent>
                    </wps:txbx>
                    <wps:bodyPr upright="1"/>
                  </wps:wsp>
                </a:graphicData>
              </a:graphic>
            </wp:anchor>
          </w:drawing>
        </mc:Choice>
        <mc:Fallback>
          <w:pict>
            <v:shape id="文本框 1025"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Qaq5dYAAAAKAQAADwAAAAAAAAABACAAAAAiAAAAZHJzL2Rvd25yZXYu&#10;eG1sUEsBAhQAFAAAAAgAh07iQB1lx/TEAQAAegMAAA4AAAAAAAAAAQAgAAAAJQEAAGRycy9lMm9E&#10;b2MueG1sUEsFBgAAAAAGAAYAWQEAAFsFAAAAAA==&#10;">
              <v:fill on="t" focussize="0,0"/>
              <v:stroke on="f"/>
              <v:imagedata o:title=""/>
              <o:lock v:ext="edit" aspectratio="f"/>
              <v:textbox>
                <w:txbxContent>
                  <w:p>
                    <w:r>
                      <w:rPr>
                        <w:rFonts w:hint="eastAsia"/>
                        <w:sz w:val="18"/>
                        <w:szCs w:val="18"/>
                      </w:rPr>
                      <w:t xml:space="preserve"> ISC-B-II-12(05版)</w:t>
                    </w:r>
                  </w:p>
                </w:txbxContent>
              </v:textbox>
            </v:shape>
          </w:pict>
        </mc:Fallback>
      </mc:AlternateContent>
    </w:r>
    <w:r>
      <w:rPr>
        <w:rStyle w:val="22"/>
        <w:rFonts w:hint="default"/>
        <w:w w:val="90"/>
      </w:rPr>
      <w:t>Beijing International Standard united Certification Co.,Ltd.</w:t>
    </w:r>
  </w:p>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688622"/>
    <w:multiLevelType w:val="singleLevel"/>
    <w:tmpl w:val="E6688622"/>
    <w:lvl w:ilvl="0" w:tentative="0">
      <w:start w:val="9"/>
      <w:numFmt w:val="decimal"/>
      <w:pStyle w:val="24"/>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46B9"/>
    <w:rsid w:val="00083BC3"/>
    <w:rsid w:val="000E2732"/>
    <w:rsid w:val="00165E6E"/>
    <w:rsid w:val="00172A27"/>
    <w:rsid w:val="00211DB6"/>
    <w:rsid w:val="00223A24"/>
    <w:rsid w:val="002360D5"/>
    <w:rsid w:val="00251D2E"/>
    <w:rsid w:val="002A623A"/>
    <w:rsid w:val="002F2502"/>
    <w:rsid w:val="003D3EDA"/>
    <w:rsid w:val="004121DE"/>
    <w:rsid w:val="00434D9A"/>
    <w:rsid w:val="00435B26"/>
    <w:rsid w:val="00482E71"/>
    <w:rsid w:val="00505289"/>
    <w:rsid w:val="005331E3"/>
    <w:rsid w:val="00677C75"/>
    <w:rsid w:val="00687DEA"/>
    <w:rsid w:val="006C0FA1"/>
    <w:rsid w:val="0075460D"/>
    <w:rsid w:val="00755FAA"/>
    <w:rsid w:val="007B5841"/>
    <w:rsid w:val="007F4E9F"/>
    <w:rsid w:val="0088308D"/>
    <w:rsid w:val="0088483B"/>
    <w:rsid w:val="008A39AA"/>
    <w:rsid w:val="009A70B7"/>
    <w:rsid w:val="009B5238"/>
    <w:rsid w:val="009B6EDF"/>
    <w:rsid w:val="009C44D5"/>
    <w:rsid w:val="00A301F6"/>
    <w:rsid w:val="00A7157B"/>
    <w:rsid w:val="00AA0DAB"/>
    <w:rsid w:val="00B15FD5"/>
    <w:rsid w:val="00B6409C"/>
    <w:rsid w:val="00BA2C64"/>
    <w:rsid w:val="00C01019"/>
    <w:rsid w:val="00C43D2E"/>
    <w:rsid w:val="00C57F19"/>
    <w:rsid w:val="00C8683C"/>
    <w:rsid w:val="00D10CAC"/>
    <w:rsid w:val="00DA5F3B"/>
    <w:rsid w:val="00E807C2"/>
    <w:rsid w:val="00ED4B5B"/>
    <w:rsid w:val="00EE6AC2"/>
    <w:rsid w:val="00F00191"/>
    <w:rsid w:val="00F05C2A"/>
    <w:rsid w:val="00F24FCD"/>
    <w:rsid w:val="00F848E2"/>
    <w:rsid w:val="00FB191E"/>
    <w:rsid w:val="014A4B87"/>
    <w:rsid w:val="01633E9B"/>
    <w:rsid w:val="018362EB"/>
    <w:rsid w:val="01C506B1"/>
    <w:rsid w:val="02094A42"/>
    <w:rsid w:val="02CD3CC1"/>
    <w:rsid w:val="032C18A2"/>
    <w:rsid w:val="06233BF8"/>
    <w:rsid w:val="069A69A2"/>
    <w:rsid w:val="071602E4"/>
    <w:rsid w:val="07834179"/>
    <w:rsid w:val="07CD02C0"/>
    <w:rsid w:val="080D2DB2"/>
    <w:rsid w:val="087F5A5E"/>
    <w:rsid w:val="089D7C92"/>
    <w:rsid w:val="08F06A48"/>
    <w:rsid w:val="095261F1"/>
    <w:rsid w:val="0955726C"/>
    <w:rsid w:val="09C120A6"/>
    <w:rsid w:val="0ADD1E4D"/>
    <w:rsid w:val="0AF81AF7"/>
    <w:rsid w:val="0CB5709F"/>
    <w:rsid w:val="0CC815A3"/>
    <w:rsid w:val="0D0C188A"/>
    <w:rsid w:val="0D18022F"/>
    <w:rsid w:val="0D2E35AF"/>
    <w:rsid w:val="0D3D7C96"/>
    <w:rsid w:val="0D57284E"/>
    <w:rsid w:val="0D9C49BC"/>
    <w:rsid w:val="0E0F46AC"/>
    <w:rsid w:val="0E146C48"/>
    <w:rsid w:val="0FB12275"/>
    <w:rsid w:val="0FD61CDB"/>
    <w:rsid w:val="10116A82"/>
    <w:rsid w:val="10AF4A06"/>
    <w:rsid w:val="110D7335"/>
    <w:rsid w:val="11DE02E9"/>
    <w:rsid w:val="121F3E0E"/>
    <w:rsid w:val="12244F80"/>
    <w:rsid w:val="127C6BC4"/>
    <w:rsid w:val="12DB7D35"/>
    <w:rsid w:val="13097082"/>
    <w:rsid w:val="1340228E"/>
    <w:rsid w:val="134A0A16"/>
    <w:rsid w:val="135E2714"/>
    <w:rsid w:val="138C54D3"/>
    <w:rsid w:val="13B50FA2"/>
    <w:rsid w:val="148A7C64"/>
    <w:rsid w:val="148C39B2"/>
    <w:rsid w:val="14A10B0A"/>
    <w:rsid w:val="15035321"/>
    <w:rsid w:val="151237B6"/>
    <w:rsid w:val="15E82341"/>
    <w:rsid w:val="161948F8"/>
    <w:rsid w:val="16802341"/>
    <w:rsid w:val="16C32FBA"/>
    <w:rsid w:val="16F5338F"/>
    <w:rsid w:val="1755215E"/>
    <w:rsid w:val="17CE1006"/>
    <w:rsid w:val="18A84204"/>
    <w:rsid w:val="18BC5F12"/>
    <w:rsid w:val="19680B28"/>
    <w:rsid w:val="19706CFD"/>
    <w:rsid w:val="19F83806"/>
    <w:rsid w:val="1A16534C"/>
    <w:rsid w:val="1B4239E1"/>
    <w:rsid w:val="1BD6378F"/>
    <w:rsid w:val="1C4526C3"/>
    <w:rsid w:val="1D1B6E43"/>
    <w:rsid w:val="1DF736E1"/>
    <w:rsid w:val="1E560BB7"/>
    <w:rsid w:val="1E635082"/>
    <w:rsid w:val="1ED307E2"/>
    <w:rsid w:val="1F1A7E37"/>
    <w:rsid w:val="1F2E38E2"/>
    <w:rsid w:val="201063F5"/>
    <w:rsid w:val="204D5FEA"/>
    <w:rsid w:val="206A094A"/>
    <w:rsid w:val="207C79FC"/>
    <w:rsid w:val="21350F58"/>
    <w:rsid w:val="2177331E"/>
    <w:rsid w:val="22097CEF"/>
    <w:rsid w:val="22252D7A"/>
    <w:rsid w:val="226D64CF"/>
    <w:rsid w:val="227855A0"/>
    <w:rsid w:val="22E2171E"/>
    <w:rsid w:val="231A2203"/>
    <w:rsid w:val="23571659"/>
    <w:rsid w:val="23812232"/>
    <w:rsid w:val="238D0D17"/>
    <w:rsid w:val="239006C7"/>
    <w:rsid w:val="24E61397"/>
    <w:rsid w:val="25931B77"/>
    <w:rsid w:val="25C14ADA"/>
    <w:rsid w:val="25EB42DB"/>
    <w:rsid w:val="27506FC9"/>
    <w:rsid w:val="27781B9E"/>
    <w:rsid w:val="27CA237A"/>
    <w:rsid w:val="27CE64E0"/>
    <w:rsid w:val="27D8263D"/>
    <w:rsid w:val="27DD4B45"/>
    <w:rsid w:val="28966C30"/>
    <w:rsid w:val="28EC1C18"/>
    <w:rsid w:val="28EC565A"/>
    <w:rsid w:val="29E17ECF"/>
    <w:rsid w:val="2B1240B8"/>
    <w:rsid w:val="2B1B11BE"/>
    <w:rsid w:val="2B23071E"/>
    <w:rsid w:val="2BD559B4"/>
    <w:rsid w:val="2D2A393B"/>
    <w:rsid w:val="2D424A3C"/>
    <w:rsid w:val="2DBA7E5E"/>
    <w:rsid w:val="2DDF0A87"/>
    <w:rsid w:val="2DE405F9"/>
    <w:rsid w:val="2E692241"/>
    <w:rsid w:val="2E70537D"/>
    <w:rsid w:val="2E9F5C62"/>
    <w:rsid w:val="2ED830F1"/>
    <w:rsid w:val="2F546A4D"/>
    <w:rsid w:val="2F5F4DFE"/>
    <w:rsid w:val="2FE01DC9"/>
    <w:rsid w:val="3048367F"/>
    <w:rsid w:val="30D83F84"/>
    <w:rsid w:val="30FC45CB"/>
    <w:rsid w:val="310B76AB"/>
    <w:rsid w:val="31172428"/>
    <w:rsid w:val="31174143"/>
    <w:rsid w:val="311E2B2F"/>
    <w:rsid w:val="31BB1005"/>
    <w:rsid w:val="31FB2A20"/>
    <w:rsid w:val="32C27B60"/>
    <w:rsid w:val="33264F6B"/>
    <w:rsid w:val="33F514E8"/>
    <w:rsid w:val="340D2DD0"/>
    <w:rsid w:val="34B87A7E"/>
    <w:rsid w:val="357C4FF0"/>
    <w:rsid w:val="35AD3F57"/>
    <w:rsid w:val="36A92528"/>
    <w:rsid w:val="37076A9B"/>
    <w:rsid w:val="374B6987"/>
    <w:rsid w:val="37D050DF"/>
    <w:rsid w:val="37F7266B"/>
    <w:rsid w:val="387104BC"/>
    <w:rsid w:val="38FB618B"/>
    <w:rsid w:val="393671C3"/>
    <w:rsid w:val="395D0BF4"/>
    <w:rsid w:val="39FE4185"/>
    <w:rsid w:val="3A6F3596"/>
    <w:rsid w:val="3A9D19CF"/>
    <w:rsid w:val="3AA770DD"/>
    <w:rsid w:val="3AAB598F"/>
    <w:rsid w:val="3AD279CD"/>
    <w:rsid w:val="3B626996"/>
    <w:rsid w:val="3C3B1043"/>
    <w:rsid w:val="3C9C1A33"/>
    <w:rsid w:val="3CA75392"/>
    <w:rsid w:val="3CFF58C3"/>
    <w:rsid w:val="3D430101"/>
    <w:rsid w:val="3DA07AD8"/>
    <w:rsid w:val="3F30107F"/>
    <w:rsid w:val="3F4F7037"/>
    <w:rsid w:val="3FFC40F9"/>
    <w:rsid w:val="402358E4"/>
    <w:rsid w:val="40430CA5"/>
    <w:rsid w:val="40FB141E"/>
    <w:rsid w:val="416D3A05"/>
    <w:rsid w:val="41AE46E3"/>
    <w:rsid w:val="42350960"/>
    <w:rsid w:val="427F0774"/>
    <w:rsid w:val="42C45840"/>
    <w:rsid w:val="44000F96"/>
    <w:rsid w:val="448939E8"/>
    <w:rsid w:val="44D51F86"/>
    <w:rsid w:val="44E4041B"/>
    <w:rsid w:val="451F10D8"/>
    <w:rsid w:val="45244CBC"/>
    <w:rsid w:val="462336CA"/>
    <w:rsid w:val="46492C2C"/>
    <w:rsid w:val="464C44CA"/>
    <w:rsid w:val="46B34549"/>
    <w:rsid w:val="470D5BB3"/>
    <w:rsid w:val="478A7058"/>
    <w:rsid w:val="499309B4"/>
    <w:rsid w:val="4A0B1FA6"/>
    <w:rsid w:val="4A954692"/>
    <w:rsid w:val="4AE4195E"/>
    <w:rsid w:val="4B1C090F"/>
    <w:rsid w:val="4BD411EA"/>
    <w:rsid w:val="4C422E07"/>
    <w:rsid w:val="4C5F211F"/>
    <w:rsid w:val="4C8229F4"/>
    <w:rsid w:val="4DB8446C"/>
    <w:rsid w:val="4E2645D9"/>
    <w:rsid w:val="4E432B3D"/>
    <w:rsid w:val="4E4E112E"/>
    <w:rsid w:val="4E906B84"/>
    <w:rsid w:val="4E9613EF"/>
    <w:rsid w:val="4F7664B6"/>
    <w:rsid w:val="4FFC2ABD"/>
    <w:rsid w:val="50534713"/>
    <w:rsid w:val="50B92BBB"/>
    <w:rsid w:val="512A5408"/>
    <w:rsid w:val="51B178D7"/>
    <w:rsid w:val="51B66C4D"/>
    <w:rsid w:val="52224331"/>
    <w:rsid w:val="522B58DB"/>
    <w:rsid w:val="52795345"/>
    <w:rsid w:val="52B83749"/>
    <w:rsid w:val="533505B9"/>
    <w:rsid w:val="536524C3"/>
    <w:rsid w:val="53C71634"/>
    <w:rsid w:val="53D70873"/>
    <w:rsid w:val="53E06252"/>
    <w:rsid w:val="53EC33B3"/>
    <w:rsid w:val="54887ACF"/>
    <w:rsid w:val="55CA2C97"/>
    <w:rsid w:val="562B5EAA"/>
    <w:rsid w:val="56595C72"/>
    <w:rsid w:val="566C29CD"/>
    <w:rsid w:val="56EA7907"/>
    <w:rsid w:val="572052E3"/>
    <w:rsid w:val="5794182D"/>
    <w:rsid w:val="57DD5F3B"/>
    <w:rsid w:val="57E069DE"/>
    <w:rsid w:val="57F61A9D"/>
    <w:rsid w:val="58A753F3"/>
    <w:rsid w:val="59741916"/>
    <w:rsid w:val="5A4353FF"/>
    <w:rsid w:val="5B4E0839"/>
    <w:rsid w:val="5C8A7B5D"/>
    <w:rsid w:val="5EBB7FE7"/>
    <w:rsid w:val="5EFF572F"/>
    <w:rsid w:val="5F7E4D8D"/>
    <w:rsid w:val="5F8B6CA4"/>
    <w:rsid w:val="603A402A"/>
    <w:rsid w:val="604C0FCC"/>
    <w:rsid w:val="607D37A6"/>
    <w:rsid w:val="60F041D8"/>
    <w:rsid w:val="61354081"/>
    <w:rsid w:val="61695482"/>
    <w:rsid w:val="620D46B6"/>
    <w:rsid w:val="623C31ED"/>
    <w:rsid w:val="6247665C"/>
    <w:rsid w:val="6248062A"/>
    <w:rsid w:val="626F3307"/>
    <w:rsid w:val="62853BC4"/>
    <w:rsid w:val="62FE754B"/>
    <w:rsid w:val="638F0C6D"/>
    <w:rsid w:val="639130C5"/>
    <w:rsid w:val="63BA5E61"/>
    <w:rsid w:val="63E458EA"/>
    <w:rsid w:val="64D8544F"/>
    <w:rsid w:val="650F1B6E"/>
    <w:rsid w:val="656C2C83"/>
    <w:rsid w:val="657A1AA1"/>
    <w:rsid w:val="658D65D9"/>
    <w:rsid w:val="659A0956"/>
    <w:rsid w:val="65DC4ACB"/>
    <w:rsid w:val="66365258"/>
    <w:rsid w:val="66D25ECE"/>
    <w:rsid w:val="66F627FA"/>
    <w:rsid w:val="673152EA"/>
    <w:rsid w:val="67A535E2"/>
    <w:rsid w:val="688D47A2"/>
    <w:rsid w:val="68F452C7"/>
    <w:rsid w:val="695D4175"/>
    <w:rsid w:val="699345C0"/>
    <w:rsid w:val="6A023D8F"/>
    <w:rsid w:val="6A2230B3"/>
    <w:rsid w:val="6B3B04E6"/>
    <w:rsid w:val="6B8F67CD"/>
    <w:rsid w:val="6C944351"/>
    <w:rsid w:val="6CCF5389"/>
    <w:rsid w:val="6CFE17CB"/>
    <w:rsid w:val="6E25722B"/>
    <w:rsid w:val="6EA3225C"/>
    <w:rsid w:val="6F1A5811"/>
    <w:rsid w:val="6F2C3427"/>
    <w:rsid w:val="6F5A4CB2"/>
    <w:rsid w:val="6FD42CB7"/>
    <w:rsid w:val="710D679A"/>
    <w:rsid w:val="719E7794"/>
    <w:rsid w:val="721F290F"/>
    <w:rsid w:val="72216EF5"/>
    <w:rsid w:val="723A2DA8"/>
    <w:rsid w:val="723B26D6"/>
    <w:rsid w:val="72A41658"/>
    <w:rsid w:val="72C81D85"/>
    <w:rsid w:val="72E505AA"/>
    <w:rsid w:val="72F606FE"/>
    <w:rsid w:val="732950C8"/>
    <w:rsid w:val="742F2BB2"/>
    <w:rsid w:val="743C3640"/>
    <w:rsid w:val="750D185B"/>
    <w:rsid w:val="752C17D6"/>
    <w:rsid w:val="75AA195E"/>
    <w:rsid w:val="75AB44BA"/>
    <w:rsid w:val="76DD5309"/>
    <w:rsid w:val="777C610E"/>
    <w:rsid w:val="77EA751B"/>
    <w:rsid w:val="786448DD"/>
    <w:rsid w:val="78AE679B"/>
    <w:rsid w:val="78D67AA0"/>
    <w:rsid w:val="795E7A45"/>
    <w:rsid w:val="7A736669"/>
    <w:rsid w:val="7AAF67FA"/>
    <w:rsid w:val="7C17769E"/>
    <w:rsid w:val="7C690A14"/>
    <w:rsid w:val="7D8E6B9B"/>
    <w:rsid w:val="7DB11D69"/>
    <w:rsid w:val="7F736048"/>
    <w:rsid w:val="7F821A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line="360" w:lineRule="auto"/>
      <w:jc w:val="center"/>
      <w:outlineLvl w:val="0"/>
    </w:pPr>
    <w:rPr>
      <w:rFonts w:ascii="Calibri" w:hAnsi="Calibri"/>
      <w:b/>
      <w:kern w:val="44"/>
      <w:sz w:val="44"/>
      <w:szCs w:val="22"/>
    </w:rPr>
  </w:style>
  <w:style w:type="paragraph" w:styleId="4">
    <w:name w:val="heading 2"/>
    <w:basedOn w:val="1"/>
    <w:next w:val="1"/>
    <w:qFormat/>
    <w:uiPriority w:val="0"/>
    <w:pPr>
      <w:keepNext/>
      <w:tabs>
        <w:tab w:val="left" w:pos="3510"/>
        <w:tab w:val="left" w:pos="3585"/>
        <w:tab w:val="center" w:pos="4410"/>
        <w:tab w:val="left" w:pos="4620"/>
        <w:tab w:val="left" w:pos="4830"/>
        <w:tab w:val="left" w:pos="5580"/>
      </w:tabs>
      <w:outlineLvl w:val="1"/>
    </w:pPr>
    <w:rPr>
      <w:b/>
      <w:bCs/>
      <w:sz w:val="32"/>
    </w:rPr>
  </w:style>
  <w:style w:type="paragraph" w:styleId="5">
    <w:name w:val="heading 4"/>
    <w:basedOn w:val="1"/>
    <w:next w:val="6"/>
    <w:qFormat/>
    <w:uiPriority w:val="0"/>
    <w:pPr>
      <w:keepNext/>
      <w:widowControl/>
      <w:jc w:val="center"/>
      <w:outlineLvl w:val="3"/>
    </w:pPr>
    <w:rPr>
      <w:rFonts w:ascii="Arial Black" w:hAnsi="Arial Black"/>
      <w:kern w:val="0"/>
      <w:sz w:val="32"/>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6">
    <w:name w:val="Normal Indent"/>
    <w:basedOn w:val="1"/>
    <w:next w:val="5"/>
    <w:qFormat/>
    <w:uiPriority w:val="0"/>
    <w:pPr>
      <w:adjustRightInd w:val="0"/>
      <w:spacing w:line="360" w:lineRule="atLeast"/>
      <w:ind w:left="480"/>
      <w:textAlignment w:val="baseline"/>
    </w:pPr>
    <w:rPr>
      <w:kern w:val="0"/>
    </w:rPr>
  </w:style>
  <w:style w:type="paragraph" w:styleId="7">
    <w:name w:val="Body Text"/>
    <w:basedOn w:val="1"/>
    <w:unhideWhenUsed/>
    <w:qFormat/>
    <w:uiPriority w:val="99"/>
    <w:pPr>
      <w:spacing w:line="420" w:lineRule="exact"/>
    </w:pPr>
    <w:rPr>
      <w:sz w:val="24"/>
    </w:rPr>
  </w:style>
  <w:style w:type="paragraph" w:styleId="8">
    <w:name w:val="Block Text"/>
    <w:basedOn w:val="1"/>
    <w:qFormat/>
    <w:uiPriority w:val="0"/>
    <w:pPr>
      <w:ind w:left="1785" w:right="3407"/>
    </w:pPr>
    <w:rPr>
      <w:sz w:val="24"/>
    </w:rPr>
  </w:style>
  <w:style w:type="paragraph" w:styleId="9">
    <w:name w:val="Plain Text"/>
    <w:basedOn w:val="1"/>
    <w:qFormat/>
    <w:uiPriority w:val="0"/>
    <w:rPr>
      <w:rFonts w:ascii="宋体" w:hAnsi="Courier New"/>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next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338DE6"/>
      <w:u w:val="none"/>
    </w:rPr>
  </w:style>
  <w:style w:type="paragraph" w:customStyle="1" w:styleId="18">
    <w:name w:val="正文 首行缩进:  2 字符"/>
    <w:basedOn w:val="1"/>
    <w:qFormat/>
    <w:uiPriority w:val="0"/>
    <w:pPr>
      <w:ind w:firstLine="200" w:firstLineChars="200"/>
    </w:pPr>
    <w:rPr>
      <w:rFonts w:cs="宋体"/>
      <w:sz w:val="24"/>
      <w:szCs w:val="20"/>
    </w:rPr>
  </w:style>
  <w:style w:type="character" w:customStyle="1" w:styleId="19">
    <w:name w:val="页眉 字符"/>
    <w:basedOn w:val="16"/>
    <w:link w:val="12"/>
    <w:qFormat/>
    <w:uiPriority w:val="99"/>
    <w:rPr>
      <w:rFonts w:ascii="Times New Roman" w:hAnsi="Times New Roman" w:eastAsia="宋体" w:cs="Times New Roman"/>
      <w:sz w:val="18"/>
      <w:szCs w:val="18"/>
    </w:rPr>
  </w:style>
  <w:style w:type="character" w:customStyle="1" w:styleId="20">
    <w:name w:val="页脚 字符"/>
    <w:basedOn w:val="16"/>
    <w:link w:val="11"/>
    <w:qFormat/>
    <w:uiPriority w:val="99"/>
    <w:rPr>
      <w:rFonts w:ascii="Times New Roman" w:hAnsi="Times New Roman" w:eastAsia="宋体" w:cs="Times New Roman"/>
      <w:sz w:val="18"/>
      <w:szCs w:val="18"/>
    </w:rPr>
  </w:style>
  <w:style w:type="character" w:customStyle="1" w:styleId="21">
    <w:name w:val="批注框文本 字符"/>
    <w:basedOn w:val="16"/>
    <w:link w:val="10"/>
    <w:semiHidden/>
    <w:qFormat/>
    <w:uiPriority w:val="99"/>
    <w:rPr>
      <w:rFonts w:ascii="Times New Roman" w:hAnsi="Times New Roman" w:eastAsia="宋体" w:cs="Times New Roman"/>
      <w:sz w:val="18"/>
      <w:szCs w:val="18"/>
    </w:rPr>
  </w:style>
  <w:style w:type="character" w:customStyle="1" w:styleId="22">
    <w:name w:val="Char Char1"/>
    <w:qFormat/>
    <w:locked/>
    <w:uiPriority w:val="0"/>
    <w:rPr>
      <w:rFonts w:hint="eastAsia" w:ascii="宋体" w:hAnsi="Courier New" w:eastAsia="宋体"/>
      <w:kern w:val="2"/>
      <w:sz w:val="21"/>
      <w:lang w:val="en-US" w:eastAsia="zh-CN" w:bidi="ar-SA"/>
    </w:rPr>
  </w:style>
  <w:style w:type="paragraph" w:customStyle="1" w:styleId="23">
    <w:name w:val="Table Paragraph"/>
    <w:basedOn w:val="1"/>
    <w:unhideWhenUsed/>
    <w:qFormat/>
    <w:uiPriority w:val="1"/>
    <w:rPr>
      <w:rFonts w:hint="eastAsia"/>
      <w:sz w:val="24"/>
    </w:rPr>
  </w:style>
  <w:style w:type="paragraph" w:customStyle="1" w:styleId="24">
    <w:name w:val="Char"/>
    <w:basedOn w:val="1"/>
    <w:qFormat/>
    <w:uiPriority w:val="0"/>
    <w:pPr>
      <w:numPr>
        <w:ilvl w:val="0"/>
        <w:numId w:val="1"/>
      </w:numPr>
      <w:tabs>
        <w:tab w:val="left" w:pos="252"/>
      </w:tabs>
    </w:pPr>
    <w:rPr>
      <w:sz w:val="24"/>
    </w:rPr>
  </w:style>
  <w:style w:type="paragraph" w:styleId="25">
    <w:name w:val="List Paragraph"/>
    <w:basedOn w:val="1"/>
    <w:qFormat/>
    <w:uiPriority w:val="99"/>
    <w:pPr>
      <w:ind w:firstLine="420" w:firstLineChars="200"/>
    </w:pPr>
  </w:style>
  <w:style w:type="paragraph" w:customStyle="1" w:styleId="26">
    <w:name w:val="Char Char Char Char"/>
    <w:basedOn w:val="1"/>
    <w:qFormat/>
    <w:uiPriority w:val="0"/>
    <w:rPr>
      <w:rFonts w:ascii="Tahoma" w:hAnsi="Tahoma"/>
      <w:sz w:val="24"/>
    </w:r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Char Char Char Char1"/>
    <w:basedOn w:val="1"/>
    <w:qFormat/>
    <w:uiPriority w:val="0"/>
    <w:rPr>
      <w:rFonts w:ascii="Tahoma" w:hAnsi="Tahoma"/>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9648</Words>
  <Characters>10422</Characters>
  <Lines>119</Lines>
  <Paragraphs>33</Paragraphs>
  <TotalTime>1</TotalTime>
  <ScaleCrop>false</ScaleCrop>
  <LinksUpToDate>false</LinksUpToDate>
  <CharactersWithSpaces>10642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2022-04-03T10:54:26Z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C750CBA7631E4663AE248E0CA462FBD5</vt:lpwstr>
  </property>
</Properties>
</file>