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0157-2022-QEO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江西欣盛泰实业有限公司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江西欣盛泰实业有限公司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江西省樟树市城北（张家山）工业园1号路</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江西省樟树市城北（张家山）工业园1号路</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肖园琴</w:t>
            </w:r>
            <w:bookmarkEnd w:id="10"/>
          </w:p>
        </w:tc>
        <w:tc>
          <w:tcPr>
            <w:tcW w:w="1313" w:type="dxa"/>
            <w:vAlign w:val="center"/>
          </w:tcPr>
          <w:p>
            <w:r>
              <w:rPr>
                <w:rFonts w:hint="eastAsia"/>
              </w:rPr>
              <w:t>电话.</w:t>
            </w:r>
          </w:p>
        </w:tc>
        <w:tc>
          <w:tcPr>
            <w:tcW w:w="2180" w:type="dxa"/>
            <w:vAlign w:val="center"/>
          </w:tcPr>
          <w:p>
            <w:bookmarkStart w:id="11" w:name="联系人电话"/>
            <w:r>
              <w:t>0795-7857666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胡庆春</w:t>
            </w:r>
            <w:bookmarkEnd w:id="13"/>
          </w:p>
        </w:tc>
        <w:tc>
          <w:tcPr>
            <w:tcW w:w="1313" w:type="dxa"/>
            <w:vAlign w:val="center"/>
          </w:tcPr>
          <w:p>
            <w:r>
              <w:rPr>
                <w:rFonts w:hint="eastAsia"/>
              </w:rPr>
              <w:t>管理者代表</w:t>
            </w:r>
          </w:p>
        </w:tc>
        <w:tc>
          <w:tcPr>
            <w:tcW w:w="2180" w:type="dxa"/>
          </w:tcPr>
          <w:p>
            <w:bookmarkStart w:id="14" w:name="管理者代表"/>
            <w:r>
              <w:t>肖园琴</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rFonts w:hint="eastAsia"/>
              </w:rPr>
            </w:pPr>
            <w:r>
              <w:rPr>
                <w:rFonts w:hint="eastAsia"/>
              </w:rPr>
              <w:t>受审核组织的班次：</w:t>
            </w:r>
            <w:r>
              <w:rPr>
                <w:rFonts w:hint="eastAsia"/>
              </w:rPr>
              <w:sym w:font="Wingdings 2" w:char="0052"/>
            </w:r>
            <w:r>
              <w:rPr>
                <w:rFonts w:hint="eastAsia"/>
              </w:rPr>
              <w:t>单班□双班□三班□其他</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下料→冲压→折弯→焊接→打磨→喷涂→安装→包装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2022年03月10日 上午至2022年03月14日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3" w:hRule="exact"/>
        </w:trPr>
        <w:tc>
          <w:tcPr>
            <w:tcW w:w="1632" w:type="dxa"/>
            <w:gridSpan w:val="2"/>
          </w:tcPr>
          <w:p>
            <w:r>
              <w:rPr>
                <w:rFonts w:hint="eastAsia"/>
              </w:rPr>
              <w:t>审核准则</w:t>
            </w:r>
          </w:p>
          <w:p/>
        </w:tc>
        <w:tc>
          <w:tcPr>
            <w:tcW w:w="7831" w:type="dxa"/>
            <w:gridSpan w:val="3"/>
            <w:tcMar>
              <w:left w:w="113" w:type="dxa"/>
            </w:tcMar>
          </w:tcPr>
          <w:p>
            <w:pPr>
              <w:rPr>
                <w:rFonts w:hint="eastAsia"/>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p>
          <w:p>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pPr>
              <w:rPr>
                <w:rFonts w:hint="eastAsia"/>
                <w:lang w:val="de-DE"/>
              </w:rPr>
            </w:pPr>
            <w:r>
              <w:rPr>
                <w:rFonts w:hint="eastAsia"/>
                <w:lang w:val="de-DE"/>
              </w:rPr>
              <w:sym w:font="Wingdings 2" w:char="0052"/>
            </w:r>
            <w:r>
              <w:rPr>
                <w:rFonts w:hint="eastAsia"/>
                <w:lang w:val="de-DE"/>
              </w:rPr>
              <w:t>适用于受审核方的法律法规及其他要求</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Q：城市公共交通亭（棚）、广告棚（牌）、旅游咨询亭、治安亭（棚）、户外各类收费亭、报刊亭的生产</w:t>
            </w:r>
          </w:p>
          <w:p>
            <w:r>
              <w:t>E：城市公共交通亭（棚）、广告棚（牌）、旅游咨询亭、治安亭（棚）、户外各类收费亭、报刊亭的生产所涉及场所的相关环境管理活动</w:t>
            </w:r>
          </w:p>
          <w:p>
            <w:r>
              <w:t>O：城市公共交通亭（棚）、广告棚（牌）、旅游咨询亭、治安亭（棚）、户外各类收费亭、报刊亭的生产所涉及场所的相关职业健康安全管理活动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Q：17.12.05</w:t>
            </w:r>
          </w:p>
          <w:p>
            <w:r>
              <w:t>E：17.12.05</w:t>
            </w:r>
          </w:p>
          <w:p>
            <w:r>
              <w:t>O：17.12.05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2019年10月10日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29-30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江西欣盛泰实业有限公司</w:t>
            </w:r>
          </w:p>
          <w:p>
            <w:pPr>
              <w:pStyle w:val="2"/>
              <w:rPr>
                <w:lang w:val="de-DE" w:eastAsia="ja-JP"/>
              </w:rPr>
            </w:pPr>
            <w:r>
              <w:rPr>
                <w:rFonts w:asciiTheme="minorEastAsia" w:hAnsiTheme="minorEastAsia" w:eastAsiaTheme="minorEastAsia"/>
                <w:sz w:val="20"/>
              </w:rPr>
              <w:t>江西省樟树市城北（张家山）工业园1号路</w:t>
            </w:r>
          </w:p>
        </w:tc>
        <w:tc>
          <w:tcPr>
            <w:tcW w:w="2267" w:type="dxa"/>
          </w:tcPr>
          <w:p>
            <w:pPr>
              <w:rPr>
                <w:lang w:val="de-DE" w:eastAsia="ja-JP"/>
              </w:rPr>
            </w:pPr>
            <w:r>
              <w:rPr>
                <w:rFonts w:asciiTheme="minorEastAsia" w:hAnsiTheme="minorEastAsia" w:eastAsiaTheme="minorEastAsia"/>
                <w:sz w:val="20"/>
              </w:rPr>
              <w:t>江西省樟树市城北（张家山）工业园1号路</w:t>
            </w:r>
          </w:p>
        </w:tc>
        <w:tc>
          <w:tcPr>
            <w:tcW w:w="571" w:type="dxa"/>
            <w:vAlign w:val="center"/>
          </w:tcPr>
          <w:p>
            <w:pPr>
              <w:rPr>
                <w:rFonts w:hint="default" w:eastAsia="宋体"/>
                <w:lang w:val="en-US" w:eastAsia="zh-CN"/>
              </w:rPr>
            </w:pPr>
            <w:r>
              <w:rPr>
                <w:rFonts w:hint="eastAsia"/>
                <w:lang w:val="en-US" w:eastAsia="zh-CN"/>
              </w:rPr>
              <w:t>44</w:t>
            </w:r>
          </w:p>
        </w:tc>
        <w:tc>
          <w:tcPr>
            <w:tcW w:w="2803" w:type="dxa"/>
            <w:vAlign w:val="center"/>
          </w:tcPr>
          <w:p>
            <w:pPr>
              <w:rPr>
                <w:lang w:eastAsia="ja-JP"/>
              </w:rPr>
            </w:pPr>
            <w:r>
              <w:rPr>
                <w:sz w:val="20"/>
              </w:rPr>
              <w:t>城市公共交通亭（棚）、广告棚（牌）、旅游咨询亭、治安亭（棚）、户外各类收费亭、报刊亭的生产</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Q:17.12.05</w:t>
            </w:r>
          </w:p>
          <w:p>
            <w:r>
              <w:t>E:17.12.05</w:t>
            </w:r>
          </w:p>
          <w:p>
            <w: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徐爱红</w:t>
            </w:r>
          </w:p>
        </w:tc>
        <w:tc>
          <w:tcPr>
            <w:tcW w:w="1089" w:type="dxa"/>
            <w:vAlign w:val="center"/>
          </w:tcPr>
          <w:p>
            <w:r>
              <w:t>组员</w:t>
            </w:r>
          </w:p>
        </w:tc>
        <w:tc>
          <w:tcPr>
            <w:tcW w:w="711" w:type="dxa"/>
            <w:vAlign w:val="center"/>
          </w:tcPr>
          <w:p>
            <w:r>
              <w:t>女</w:t>
            </w:r>
          </w:p>
        </w:tc>
        <w:tc>
          <w:tcPr>
            <w:tcW w:w="3870" w:type="dxa"/>
            <w:vAlign w:val="center"/>
          </w:tcPr>
          <w:p>
            <w:r>
              <w:t>2021-N0QMS-1287609</w:t>
            </w:r>
          </w:p>
          <w:p>
            <w:r>
              <w:t>2021-N0EMS-1287609</w:t>
            </w:r>
          </w:p>
        </w:tc>
        <w:tc>
          <w:tcPr>
            <w:tcW w:w="2179" w:type="dxa"/>
            <w:vAlign w:val="center"/>
          </w:tcPr>
          <w:p>
            <w:r>
              <w:t>Q:17.12.05</w:t>
            </w:r>
          </w:p>
          <w:p>
            <w:r>
              <w:t>E:17.12.05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093"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0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093"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260350</wp:posOffset>
                  </wp:positionH>
                  <wp:positionV relativeFrom="paragraph">
                    <wp:posOffset>19685</wp:posOffset>
                  </wp:positionV>
                  <wp:extent cx="639445" cy="385445"/>
                  <wp:effectExtent l="0" t="0" r="8255" b="1460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39445" cy="38544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2022.3.14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u w:val="single"/>
              </w:rPr>
            </w:pPr>
            <w:r>
              <w:rPr>
                <w:rFonts w:hint="eastAsia"/>
                <w:u w:val="single"/>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3"/>
              <w:gridCol w:w="35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Pr>
                <w:p>
                  <w:pPr>
                    <w:shd w:val="clear" w:color="auto" w:fill="C7DAF1" w:themeFill="text2" w:themeFillTint="32"/>
                  </w:pPr>
                  <w:r>
                    <w:rPr>
                      <w:rFonts w:hint="eastAsia"/>
                    </w:rPr>
                    <w:t>主要的风险或机遇描述</w:t>
                  </w:r>
                </w:p>
              </w:tc>
              <w:tc>
                <w:tcPr>
                  <w:tcW w:w="3582"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Pr>
                <w:p>
                  <w:pPr>
                    <w:shd w:val="clear" w:color="auto" w:fill="C7DAF1" w:themeFill="text2" w:themeFillTint="32"/>
                    <w:rPr>
                      <w:rFonts w:hint="eastAsia" w:eastAsia="宋体"/>
                      <w:lang w:eastAsia="zh-CN"/>
                    </w:rPr>
                  </w:pPr>
                  <w:r>
                    <w:rPr>
                      <w:rFonts w:hint="eastAsia"/>
                    </w:rPr>
                    <w:t>行业市场的规模化</w:t>
                  </w:r>
                  <w:r>
                    <w:rPr>
                      <w:rFonts w:hint="eastAsia"/>
                      <w:lang w:eastAsia="zh-CN"/>
                    </w:rPr>
                    <w:t>和竞争激烈</w:t>
                  </w:r>
                </w:p>
              </w:tc>
              <w:tc>
                <w:tcPr>
                  <w:tcW w:w="3582"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Pr>
                <w:p>
                  <w:pPr>
                    <w:shd w:val="clear" w:color="auto" w:fill="C7DAF1" w:themeFill="text2" w:themeFillTint="32"/>
                  </w:pPr>
                </w:p>
              </w:tc>
              <w:tc>
                <w:tcPr>
                  <w:tcW w:w="3582"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Pr>
                <w:p>
                  <w:pPr>
                    <w:shd w:val="clear" w:color="auto" w:fill="C7DAF1" w:themeFill="text2" w:themeFillTint="32"/>
                  </w:pPr>
                </w:p>
              </w:tc>
              <w:tc>
                <w:tcPr>
                  <w:tcW w:w="3582"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3" w:type="dxa"/>
                </w:tcPr>
                <w:p>
                  <w:pPr>
                    <w:shd w:val="clear" w:color="auto" w:fill="C7DAF1" w:themeFill="text2" w:themeFillTint="32"/>
                  </w:pPr>
                </w:p>
              </w:tc>
              <w:tc>
                <w:tcPr>
                  <w:tcW w:w="3582"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2632"/>
              <w:gridCol w:w="1364"/>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63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6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2076"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tcPr>
                <w:p>
                  <w:pPr>
                    <w:shd w:val="clear" w:color="auto" w:fill="C7DAF1" w:themeFill="text2" w:themeFillTint="32"/>
                  </w:pPr>
                  <w:r>
                    <w:rPr>
                      <w:rFonts w:hint="eastAsia"/>
                    </w:rPr>
                    <w:t>产品出厂合格率100%</w:t>
                  </w:r>
                </w:p>
              </w:tc>
              <w:tc>
                <w:tcPr>
                  <w:tcW w:w="2632" w:type="dxa"/>
                  <w:shd w:val="clear" w:color="auto" w:fill="auto"/>
                  <w:vAlign w:val="center"/>
                </w:tcPr>
                <w:p>
                  <w:pPr>
                    <w:shd w:val="clear" w:color="auto" w:fill="C7DAF1" w:themeFill="text2" w:themeFillTint="32"/>
                    <w:rPr>
                      <w:lang w:val="en-GB"/>
                    </w:rPr>
                  </w:pPr>
                  <w:r>
                    <w:rPr>
                      <w:rFonts w:hint="eastAsia"/>
                      <w:lang w:val="en-GB"/>
                    </w:rPr>
                    <w:t>合格数÷总数×100%</w:t>
                  </w:r>
                </w:p>
              </w:tc>
              <w:tc>
                <w:tcPr>
                  <w:tcW w:w="1364"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生产部</w:t>
                  </w:r>
                </w:p>
              </w:tc>
              <w:tc>
                <w:tcPr>
                  <w:tcW w:w="2076"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出厂合格率100%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shd w:val="clear" w:color="auto" w:fill="auto"/>
                </w:tcPr>
                <w:p>
                  <w:pPr>
                    <w:shd w:val="clear" w:color="auto" w:fill="C7DAF1" w:themeFill="text2" w:themeFillTint="32"/>
                  </w:pPr>
                  <w:r>
                    <w:rPr>
                      <w:rFonts w:hint="eastAsia"/>
                    </w:rPr>
                    <w:t>顾客满意度95分以上</w:t>
                  </w:r>
                </w:p>
              </w:tc>
              <w:tc>
                <w:tcPr>
                  <w:tcW w:w="2632" w:type="dxa"/>
                  <w:shd w:val="clear" w:color="auto" w:fill="auto"/>
                  <w:vAlign w:val="center"/>
                </w:tcPr>
                <w:p>
                  <w:pPr>
                    <w:shd w:val="clear" w:color="auto" w:fill="C7DAF1" w:themeFill="text2" w:themeFillTint="32"/>
                    <w:rPr>
                      <w:rFonts w:ascii="宋体" w:hAnsi="宋体"/>
                    </w:rPr>
                  </w:pPr>
                  <w:r>
                    <w:rPr>
                      <w:rFonts w:hint="eastAsia" w:ascii="宋体" w:hAnsi="宋体"/>
                    </w:rPr>
                    <w:t>调查单位中满意总分数÷调查单位数</w:t>
                  </w:r>
                </w:p>
              </w:tc>
              <w:tc>
                <w:tcPr>
                  <w:tcW w:w="1364"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市场部</w:t>
                  </w:r>
                </w:p>
              </w:tc>
              <w:tc>
                <w:tcPr>
                  <w:tcW w:w="2076" w:type="dxa"/>
                  <w:shd w:val="clear" w:color="auto" w:fill="auto"/>
                  <w:vAlign w:val="center"/>
                </w:tcPr>
                <w:p>
                  <w:pPr>
                    <w:shd w:val="clear" w:color="auto" w:fill="C7DAF1" w:themeFill="text2" w:themeFillTint="32"/>
                    <w:jc w:val="center"/>
                    <w:rPr>
                      <w:rFonts w:ascii="宋体" w:hAnsi="宋体"/>
                    </w:rPr>
                  </w:pPr>
                  <w:r>
                    <w:rPr>
                      <w:rFonts w:hint="eastAsia" w:ascii="宋体" w:hAnsi="宋体"/>
                    </w:rPr>
                    <w:t>顾客满意度9</w:t>
                  </w:r>
                  <w:r>
                    <w:rPr>
                      <w:rFonts w:hint="eastAsia" w:ascii="宋体" w:hAnsi="宋体"/>
                      <w:lang w:val="en-US" w:eastAsia="zh-CN"/>
                    </w:rPr>
                    <w:t>8.2</w:t>
                  </w:r>
                  <w:r>
                    <w:rPr>
                      <w:rFonts w:hint="eastAsia" w:ascii="宋体" w:hAnsi="宋体"/>
                    </w:rPr>
                    <w:t>分</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16000</w:t>
            </w:r>
            <w:r>
              <w:rPr>
                <w:rFonts w:hint="eastAsia"/>
              </w:rPr>
              <w:t>平方米；生产车间</w:t>
            </w:r>
            <w:r>
              <w:rPr>
                <w:u w:val="single"/>
              </w:rPr>
              <w:t>3</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剪板机、数控冲、空压机、冲床、折弯机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电子吊秤、涂层测厚仪、数显干分尺、游标角度尺、游标卡尺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A3"/>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城市公共交通亭（棚）</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401"/>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shd w:val="clear" w:color="auto" w:fill="C7DAF1" w:themeFill="text2" w:themeFillTint="32"/>
                    <w:jc w:val="left"/>
                  </w:pPr>
                  <w:r>
                    <w:rPr>
                      <w:rFonts w:hint="eastAsia"/>
                    </w:rPr>
                    <w:t>产品/服务名称</w:t>
                  </w:r>
                </w:p>
              </w:tc>
              <w:tc>
                <w:tcPr>
                  <w:tcW w:w="2401"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shd w:val="clear" w:color="auto" w:fill="C7DAF1" w:themeFill="text2" w:themeFillTint="32"/>
                    <w:jc w:val="left"/>
                  </w:pPr>
                  <w:r>
                    <w:rPr>
                      <w:sz w:val="20"/>
                    </w:rPr>
                    <w:t>城市公共交通亭（棚）、广告棚（牌）、旅游咨询亭、治安亭（棚）、户外各类收费亭、报刊亭的生产</w:t>
                  </w:r>
                </w:p>
              </w:tc>
              <w:tc>
                <w:tcPr>
                  <w:tcW w:w="2401" w:type="dxa"/>
                </w:tcPr>
                <w:p>
                  <w:pPr>
                    <w:shd w:val="clear" w:color="auto" w:fill="C7DAF1" w:themeFill="text2" w:themeFillTint="32"/>
                    <w:jc w:val="left"/>
                  </w:pPr>
                  <w:r>
                    <w:rPr>
                      <w:rFonts w:hint="eastAsia" w:ascii="宋体" w:hAnsi="宋体" w:eastAsia="宋体" w:cs="Arial"/>
                      <w:color w:val="auto"/>
                      <w:spacing w:val="-6"/>
                      <w:sz w:val="21"/>
                      <w:szCs w:val="21"/>
                      <w:lang w:val="en-US" w:eastAsia="zh-CN"/>
                    </w:rPr>
                    <w:t>喷涂、焊接过程</w:t>
                  </w:r>
                </w:p>
              </w:tc>
              <w:tc>
                <w:tcPr>
                  <w:tcW w:w="3265" w:type="dxa"/>
                </w:tcPr>
                <w:p>
                  <w:pPr>
                    <w:shd w:val="clear" w:color="auto" w:fill="C7DAF1" w:themeFill="text2" w:themeFillTint="32"/>
                    <w:jc w:val="left"/>
                    <w:rPr>
                      <w:rFonts w:hint="eastAsia" w:eastAsia="宋体"/>
                      <w:lang w:eastAsia="zh-CN"/>
                    </w:rPr>
                  </w:pPr>
                  <w:r>
                    <w:rPr>
                      <w:rFonts w:hint="eastAsia"/>
                      <w:lang w:eastAsia="zh-CN"/>
                    </w:rPr>
                    <w:t>厚度、牢固度</w:t>
                  </w:r>
                </w:p>
              </w:tc>
            </w:tr>
          </w:tbl>
          <w:p>
            <w:pPr>
              <w:shd w:val="clear" w:color="auto" w:fill="C7DAF1" w:themeFill="text2" w:themeFillTint="32"/>
              <w:jc w:val="left"/>
            </w:pPr>
          </w:p>
          <w:p>
            <w:pPr>
              <w:shd w:val="clear" w:color="auto" w:fill="C7DAF1" w:themeFill="text2" w:themeFillTint="32"/>
              <w:jc w:val="left"/>
            </w:pPr>
            <w:r>
              <w:rPr>
                <w:rFonts w:hint="eastAsia"/>
              </w:rPr>
              <w:t>需要确认的过程：喷涂、焊接过程，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《型式检验报告》，如：检验报告。</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Arial"/>
                <w:spacing w:val="-6"/>
                <w:szCs w:val="21"/>
              </w:rPr>
              <w:t>2022年1月4</w:t>
            </w:r>
            <w:r>
              <w:rPr>
                <w:rFonts w:hint="eastAsia" w:ascii="宋体" w:hAnsi="宋体" w:cs="Arial"/>
                <w:spacing w:val="-6"/>
                <w:szCs w:val="21"/>
                <w:lang w:val="en-US" w:eastAsia="zh-CN"/>
              </w:rPr>
              <w:t>-</w:t>
            </w:r>
            <w:r>
              <w:rPr>
                <w:rFonts w:hint="eastAsia" w:ascii="宋体" w:hAnsi="宋体" w:cs="Arial"/>
                <w:spacing w:val="-6"/>
                <w:szCs w:val="21"/>
              </w:rPr>
              <w:t>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cs="Arial"/>
                <w:spacing w:val="-6"/>
                <w:sz w:val="21"/>
                <w:szCs w:val="21"/>
                <w:lang w:val="en-US" w:eastAsia="zh-CN"/>
              </w:rPr>
              <w:t>2022年1月12日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5"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质量至上、持续创新、诚实守信、顾客至上</w:t>
            </w:r>
          </w:p>
          <w:p>
            <w:pPr>
              <w:shd w:val="clear" w:color="auto" w:fill="EBF1DE" w:themeFill="accent3" w:themeFillTint="32"/>
              <w:rPr>
                <w:u w:val="single"/>
              </w:rPr>
            </w:pPr>
            <w:r>
              <w:rPr>
                <w:rFonts w:hint="eastAsia"/>
                <w:u w:val="single"/>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噪声排放、潜在火灾、固废排放、粉尘排放、废气</w:t>
                  </w:r>
                </w:p>
              </w:tc>
              <w:tc>
                <w:tcPr>
                  <w:tcW w:w="3965" w:type="dxa"/>
                </w:tcPr>
                <w:p>
                  <w:pPr>
                    <w:shd w:val="clear" w:color="auto" w:fill="EBF1DE" w:themeFill="accent3" w:themeFillTint="32"/>
                  </w:pPr>
                  <w:r>
                    <w:rPr>
                      <w:rFonts w:hint="eastAsia"/>
                    </w:rPr>
                    <w:t>策划了控制措施，制定有管理方案，一旦发生按相关应急预案执行</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highlight w:val="none"/>
              </w:rPr>
            </w:pPr>
            <w:r>
              <w:rPr>
                <w:rFonts w:hint="eastAsia"/>
                <w:highlight w:val="none"/>
              </w:rPr>
              <w:t>□环境影响报告表日期：</w:t>
            </w:r>
          </w:p>
          <w:p>
            <w:pPr>
              <w:shd w:val="clear" w:color="auto" w:fill="EBF1DE" w:themeFill="accent3" w:themeFillTint="32"/>
              <w:rPr>
                <w:rFonts w:hint="default" w:eastAsia="宋体"/>
                <w:highlight w:val="none"/>
                <w:lang w:val="en-US" w:eastAsia="zh-CN"/>
              </w:rPr>
            </w:pPr>
            <w:r>
              <w:rPr>
                <w:rFonts w:hint="eastAsia"/>
                <w:highlight w:val="none"/>
              </w:rPr>
              <w:sym w:font="Wingdings 2" w:char="0052"/>
            </w:r>
            <w:r>
              <w:rPr>
                <w:rFonts w:hint="eastAsia"/>
                <w:highlight w:val="none"/>
              </w:rPr>
              <w:t>环境影响报告书日期：</w:t>
            </w:r>
            <w:r>
              <w:rPr>
                <w:rFonts w:hint="eastAsia"/>
                <w:highlight w:val="none"/>
                <w:lang w:val="en-US" w:eastAsia="zh-CN"/>
              </w:rPr>
              <w:t>2013.10</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260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60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Arial"/>
                      <w:spacing w:val="-6"/>
                      <w:sz w:val="21"/>
                      <w:szCs w:val="21"/>
                      <w:lang w:val="en-US" w:eastAsia="zh-CN"/>
                    </w:rPr>
                    <w:t>固体废弃物分类处置率100%</w:t>
                  </w:r>
                </w:p>
              </w:tc>
              <w:tc>
                <w:tcPr>
                  <w:tcW w:w="2604"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3" w:type="dxa"/>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Arial"/>
                      <w:spacing w:val="-6"/>
                      <w:sz w:val="21"/>
                      <w:szCs w:val="21"/>
                      <w:lang w:val="en-US" w:eastAsia="zh-CN"/>
                    </w:rPr>
                    <w:t>火灾事故发生率为0</w:t>
                  </w:r>
                </w:p>
              </w:tc>
              <w:tc>
                <w:tcPr>
                  <w:tcW w:w="2604"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运行控制、应急预案</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组织应确定、提供并维护所需的基础设施情况：</w:t>
            </w:r>
          </w:p>
          <w:p>
            <w:pPr>
              <w:shd w:val="clear" w:color="auto" w:fill="EBF1DE" w:themeFill="accent3" w:themeFillTint="32"/>
              <w:rPr>
                <w:rFonts w:hint="eastAsia"/>
              </w:rPr>
            </w:pPr>
            <w:r>
              <w:rPr>
                <w:rFonts w:hint="eastAsia"/>
              </w:rPr>
              <w:t>建筑面积16000平方米；生产车间3个；库房1个；实验室个；</w:t>
            </w:r>
          </w:p>
          <w:p>
            <w:pPr>
              <w:shd w:val="clear" w:color="auto" w:fill="EBF1DE" w:themeFill="accent3" w:themeFillTint="32"/>
              <w:rPr>
                <w:rFonts w:hint="eastAsia"/>
              </w:rPr>
            </w:pPr>
            <w:r>
              <w:rPr>
                <w:rFonts w:hint="eastAsia"/>
              </w:rPr>
              <w:t>主要生产设备有：剪板机、数控冲、空压机、冲床、折弯机</w:t>
            </w:r>
          </w:p>
          <w:p>
            <w:pPr>
              <w:shd w:val="clear" w:color="auto" w:fill="EBF1DE" w:themeFill="accent3" w:themeFillTint="32"/>
              <w:rPr>
                <w:rFonts w:hint="eastAsia"/>
              </w:rPr>
            </w:pPr>
            <w:r>
              <w:rPr>
                <w:rFonts w:hint="eastAsia"/>
              </w:rPr>
              <w:t>特种设备：□叉车</w:t>
            </w:r>
            <w:r>
              <w:rPr>
                <w:rFonts w:hint="eastAsia"/>
              </w:rPr>
              <w:sym w:font="Wingdings 2" w:char="0052"/>
            </w:r>
            <w:r>
              <w:rPr>
                <w:rFonts w:hint="eastAsia"/>
              </w:rPr>
              <w:t>行车</w:t>
            </w:r>
            <w:r>
              <w:rPr>
                <w:rFonts w:hint="eastAsia"/>
              </w:rPr>
              <w:sym w:font="Wingdings 2" w:char="00A3"/>
            </w:r>
            <w:r>
              <w:rPr>
                <w:rFonts w:hint="eastAsia"/>
              </w:rPr>
              <w:t>锅炉□电梯</w:t>
            </w:r>
            <w:r>
              <w:rPr>
                <w:rFonts w:hint="eastAsia"/>
              </w:rPr>
              <w:sym w:font="Wingdings 2" w:char="00A3"/>
            </w:r>
            <w:r>
              <w:rPr>
                <w:rFonts w:hint="eastAsia"/>
              </w:rPr>
              <w:t>压力容器□压力管道□不适用</w:t>
            </w:r>
          </w:p>
          <w:p>
            <w:pPr>
              <w:shd w:val="clear" w:color="auto" w:fill="EBF1DE" w:themeFill="accent3" w:themeFillTint="32"/>
              <w:rPr>
                <w:rFonts w:hint="eastAsia"/>
              </w:rPr>
            </w:pPr>
            <w:r>
              <w:rPr>
                <w:rFonts w:hint="eastAsia"/>
              </w:rPr>
              <w:t>特种设备管理：</w:t>
            </w:r>
            <w:r>
              <w:rPr>
                <w:rFonts w:hint="eastAsia"/>
              </w:rPr>
              <w:sym w:font="Wingdings 2" w:char="0052"/>
            </w:r>
            <w:r>
              <w:rPr>
                <w:rFonts w:hint="eastAsia"/>
              </w:rPr>
              <w:t>进行了定期检验□未进行定期检验的有：</w:t>
            </w:r>
          </w:p>
          <w:p>
            <w:pPr>
              <w:shd w:val="clear" w:color="auto" w:fill="EBF1DE" w:themeFill="accent3" w:themeFillTint="32"/>
              <w:rPr>
                <w:rFonts w:hint="eastAsia"/>
              </w:rPr>
            </w:pPr>
            <w:r>
              <w:rPr>
                <w:rFonts w:hint="eastAsia"/>
              </w:rPr>
              <w:sym w:font="Wingdings 2" w:char="0052"/>
            </w:r>
            <w:r>
              <w:rPr>
                <w:rFonts w:hint="eastAsia"/>
              </w:rPr>
              <w:t>组织现有基础设施可满足</w:t>
            </w:r>
            <w:r>
              <w:rPr>
                <w:rFonts w:hint="eastAsia"/>
                <w:lang w:eastAsia="zh-CN"/>
              </w:rPr>
              <w:t>环境</w:t>
            </w:r>
            <w:r>
              <w:rPr>
                <w:rFonts w:hint="eastAsia"/>
              </w:rPr>
              <w:t>管理体系运行；</w:t>
            </w:r>
          </w:p>
          <w:p>
            <w:pPr>
              <w:shd w:val="clear" w:color="auto" w:fill="EBF1DE" w:themeFill="accent3" w:themeFillTint="32"/>
              <w:rPr>
                <w:rFonts w:hint="eastAsia"/>
              </w:rPr>
            </w:pPr>
            <w:r>
              <w:rPr>
                <w:rFonts w:hint="eastAsia"/>
              </w:rPr>
              <w:t>□组织现有基础设施可基本满足</w:t>
            </w:r>
            <w:r>
              <w:rPr>
                <w:rFonts w:hint="eastAsia"/>
                <w:lang w:eastAsia="zh-CN"/>
              </w:rPr>
              <w:t>环境</w:t>
            </w:r>
            <w:r>
              <w:rPr>
                <w:rFonts w:hint="eastAsia"/>
              </w:rPr>
              <w:t>管理体系运行，但是还有不足需要补充：</w:t>
            </w:r>
          </w:p>
          <w:p>
            <w:pPr>
              <w:shd w:val="clear" w:color="auto" w:fill="EBF1DE" w:themeFill="accent3" w:themeFillTint="32"/>
              <w:rPr>
                <w:u w:val="single"/>
              </w:rPr>
            </w:pPr>
            <w:r>
              <w:rPr>
                <w:rFonts w:hint="eastAsia"/>
              </w:rPr>
              <w:t>□组织现有基础设施完全不能满足</w:t>
            </w:r>
            <w:r>
              <w:rPr>
                <w:rFonts w:hint="eastAsia"/>
                <w:lang w:eastAsia="zh-CN"/>
              </w:rPr>
              <w:t>环境</w:t>
            </w:r>
            <w:r>
              <w:rPr>
                <w:rFonts w:hint="eastAsia"/>
              </w:rPr>
              <w:t>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电子吊秤、涂层测厚仪、数显干分尺、游标角度尺、游标卡尺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sym w:font="Wingdings 2" w:char="0052"/>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城市公共交通亭（棚）</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设计和开发的环境因素控制：Rohs</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A3"/>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eastAsia="zh-CN"/>
                    </w:rPr>
                    <w:t>运行控制、应急预案</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eastAsia="zh-CN"/>
              </w:rPr>
              <w:t>起重机</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：未提供环境监测报告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通过年度策划于2022年1月4-5日实施了环境管理体系内部审核，对环境管理体系的符合性和有效性进行了审核。内审发现的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222"/>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FF0000"/>
                <w:lang w:val="en-US" w:eastAsia="zh-CN"/>
              </w:rPr>
            </w:pPr>
            <w:r>
              <w:rPr>
                <w:rFonts w:hint="eastAsia"/>
                <w:color w:val="FF0000"/>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2"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FF0000"/>
                <w:lang w:val="en-US" w:eastAsia="zh-CN"/>
              </w:rPr>
            </w:pPr>
            <w:r>
              <w:rPr>
                <w:rFonts w:hint="eastAsia"/>
                <w:color w:val="FF0000"/>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52"/>
            </w:r>
            <w:r>
              <w:rPr>
                <w:rFonts w:hint="eastAsia"/>
              </w:rPr>
              <w:t>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生产部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张志卿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潜在触电、火灾事故、机械伤害、耳聋</w:t>
                  </w:r>
                </w:p>
              </w:tc>
              <w:tc>
                <w:tcPr>
                  <w:tcW w:w="3965" w:type="dxa"/>
                </w:tcPr>
                <w:p>
                  <w:pPr>
                    <w:rPr>
                      <w:rFonts w:hint="eastAsia" w:eastAsia="宋体"/>
                      <w:lang w:eastAsia="zh-CN"/>
                    </w:rPr>
                  </w:pPr>
                  <w:r>
                    <w:rPr>
                      <w:rFonts w:hint="eastAsia"/>
                      <w:lang w:eastAsia="zh-CN"/>
                    </w:rPr>
                    <w:t>运行控制、应急预案</w:t>
                  </w:r>
                </w:p>
              </w:tc>
              <w:tc>
                <w:tcPr>
                  <w:tcW w:w="1717" w:type="dxa"/>
                </w:tcPr>
                <w:p>
                  <w:pPr>
                    <w:rPr>
                      <w:rFonts w:hint="eastAsia" w:eastAsia="宋体"/>
                      <w:lang w:eastAsia="zh-CN"/>
                    </w:rPr>
                  </w:pPr>
                  <w:r>
                    <w:rPr>
                      <w:rFonts w:hint="eastAsia"/>
                      <w:lang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52"/>
            </w:r>
            <w:r>
              <w:rPr>
                <w:rFonts w:hint="eastAsia"/>
              </w:rPr>
              <w:t>职业病体检报告书日期：2021.12.21</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火灾事故发生率为0</w:t>
                  </w:r>
                </w:p>
              </w:tc>
              <w:tc>
                <w:tcPr>
                  <w:tcW w:w="3136" w:type="dxa"/>
                  <w:shd w:val="clear" w:color="auto" w:fill="auto"/>
                  <w:vAlign w:val="center"/>
                </w:tcPr>
                <w:p>
                  <w:pPr>
                    <w:rPr>
                      <w:rFonts w:hint="eastAsia" w:eastAsia="宋体"/>
                      <w:lang w:val="en-GB" w:eastAsia="zh-CN"/>
                    </w:rPr>
                  </w:pPr>
                  <w:r>
                    <w:rPr>
                      <w:rFonts w:hint="eastAsia"/>
                      <w:lang w:val="en-GB" w:eastAsia="zh-CN"/>
                    </w:rPr>
                    <w:t>运行控制、应急预案</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职业病发生率为0</w:t>
                  </w:r>
                </w:p>
              </w:tc>
              <w:tc>
                <w:tcPr>
                  <w:tcW w:w="3136" w:type="dxa"/>
                  <w:shd w:val="clear" w:color="auto" w:fill="auto"/>
                  <w:vAlign w:val="center"/>
                </w:tcPr>
                <w:p>
                  <w:pPr>
                    <w:rPr>
                      <w:rFonts w:ascii="宋体" w:hAnsi="宋体"/>
                    </w:rPr>
                  </w:pPr>
                  <w:r>
                    <w:rPr>
                      <w:rFonts w:hint="eastAsia"/>
                      <w:lang w:val="en-GB" w:eastAsia="zh-CN"/>
                    </w:rPr>
                    <w:t>运行控制</w:t>
                  </w:r>
                </w:p>
              </w:tc>
              <w:tc>
                <w:tcPr>
                  <w:tcW w:w="1350" w:type="dxa"/>
                  <w:shd w:val="clear" w:color="auto" w:fill="auto"/>
                  <w:vAlign w:val="center"/>
                </w:tcPr>
                <w:p>
                  <w:pPr>
                    <w:rPr>
                      <w:rFonts w:ascii="宋体" w:hAnsi="宋体"/>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员工重大伤亡率为0</w:t>
                  </w:r>
                </w:p>
              </w:tc>
              <w:tc>
                <w:tcPr>
                  <w:tcW w:w="3136" w:type="dxa"/>
                  <w:shd w:val="clear" w:color="auto" w:fill="auto"/>
                  <w:vAlign w:val="center"/>
                </w:tcPr>
                <w:p>
                  <w:pPr>
                    <w:rPr>
                      <w:rFonts w:ascii="宋体" w:hAnsi="宋体"/>
                    </w:rPr>
                  </w:pPr>
                  <w:r>
                    <w:rPr>
                      <w:rFonts w:hint="eastAsia"/>
                      <w:lang w:val="en-GB" w:eastAsia="zh-CN"/>
                    </w:rPr>
                    <w:t>运行控制</w:t>
                  </w:r>
                </w:p>
              </w:tc>
              <w:tc>
                <w:tcPr>
                  <w:tcW w:w="1350" w:type="dxa"/>
                  <w:shd w:val="clear" w:color="auto" w:fill="auto"/>
                  <w:vAlign w:val="center"/>
                </w:tcPr>
                <w:p>
                  <w:pPr>
                    <w:rPr>
                      <w:rFonts w:ascii="宋体" w:hAnsi="宋体"/>
                    </w:rPr>
                  </w:pPr>
                  <w:r>
                    <w:rPr>
                      <w:rFonts w:hint="eastAsia"/>
                      <w:lang w:val="en-GB"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建筑面积16000平方米；生产车间3个；库房1个；实验室个；</w:t>
            </w:r>
          </w:p>
          <w:p>
            <w:pPr>
              <w:rPr>
                <w:u w:val="single"/>
              </w:rPr>
            </w:pPr>
            <w:r>
              <w:rPr>
                <w:rFonts w:hint="eastAsia"/>
              </w:rPr>
              <w:t>主要生产设备有：</w:t>
            </w:r>
            <w:r>
              <w:rPr>
                <w:rFonts w:hint="eastAsia"/>
                <w:u w:val="single"/>
              </w:rPr>
              <w:t>剪板机、数控冲、空压机、冲床、折弯机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城市公共交通亭（棚）</w:t>
            </w:r>
          </w:p>
          <w:p>
            <w:r>
              <w:rPr>
                <w:rFonts w:hint="eastAsia"/>
              </w:rPr>
              <w:t>对该设计和开发的项目对职业健康安全风险进行了识别和评价，并制订了控制措施。</w:t>
            </w:r>
          </w:p>
          <w:p>
            <w:r>
              <w:rPr>
                <w:rFonts w:hint="eastAsia"/>
              </w:rPr>
              <w:t>设计和开发的</w:t>
            </w:r>
            <w:r>
              <w:rPr>
                <w:rFonts w:hint="eastAsia"/>
                <w:lang w:eastAsia="zh-CN"/>
              </w:rPr>
              <w:t>危险源</w:t>
            </w:r>
            <w:r>
              <w:rPr>
                <w:rFonts w:hint="eastAsia"/>
              </w:rPr>
              <w:t>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52"/>
                  </w:r>
                  <w:r>
                    <w:rPr>
                      <w:rFonts w:hint="eastAsia"/>
                    </w:rPr>
                    <w:t>排风系统</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ascii="宋体" w:hAnsi="宋体" w:eastAsia="宋体" w:cs="Arial"/>
                <w:color w:val="auto"/>
                <w:spacing w:val="-6"/>
                <w:sz w:val="21"/>
                <w:szCs w:val="21"/>
                <w:highlight w:val="none"/>
                <w:lang w:val="en-US" w:eastAsia="zh-CN"/>
              </w:rPr>
              <w:t>起重机械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2021年12月24日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color w:val="auto"/>
              </w:rPr>
            </w:pPr>
            <w:r>
              <w:rPr>
                <w:rFonts w:hint="eastAsia"/>
                <w:color w:val="auto"/>
              </w:rPr>
              <w:t>《作业场所有害物质监测报告》编号：ZJKJ21-428。</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pPr>
              <w:rPr>
                <w:color w:val="auto"/>
              </w:rPr>
            </w:pPr>
            <w:r>
              <w:rPr>
                <w:rFonts w:hint="eastAsia"/>
                <w:color w:val="auto"/>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Arial"/>
                <w:spacing w:val="-6"/>
                <w:szCs w:val="21"/>
              </w:rPr>
              <w:t>2022年1月4</w:t>
            </w:r>
            <w:r>
              <w:rPr>
                <w:rFonts w:hint="eastAsia" w:ascii="宋体" w:hAnsi="宋体" w:cs="Arial"/>
                <w:spacing w:val="-6"/>
                <w:szCs w:val="21"/>
                <w:lang w:val="en-US" w:eastAsia="zh-CN"/>
              </w:rPr>
              <w:t>-</w:t>
            </w:r>
            <w:r>
              <w:rPr>
                <w:rFonts w:hint="eastAsia" w:ascii="宋体" w:hAnsi="宋体" w:cs="Arial"/>
                <w:spacing w:val="-6"/>
                <w:szCs w:val="21"/>
              </w:rPr>
              <w:t>5日</w:t>
            </w:r>
            <w:r>
              <w:rPr>
                <w:rFonts w:hint="eastAsia"/>
              </w:rPr>
              <w:t>实施了职业健康安全管理体系内部审核，对职业健康安全管理体系的符合性和有效性进行了审核。内审发现的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最高管理者已按策划的时间间隔，在2022年1月12日对组织的职业健康安全管理体系进行了评审，以确保其持续的适宜性、充分性和有效性；管理评审输入、输出均按要求提供。并对提出的改进措施进行了落实。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F756EC8"/>
    <w:rsid w:val="328A73F7"/>
    <w:rsid w:val="40764A46"/>
    <w:rsid w:val="6DD7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2022-03-16T01:08:25Z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