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受审核部门：采购部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    主管领导：李艳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陪同人员：肖园琴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审核员：褚敏杰 褚敏杰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审核时间：2022.3.13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 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O:5.3组织的岗位、职责和权限、6.2职业健康安全目标、6.1.2危险源的识别与评价、6.1.4措施的策划、8.1运行策划和控制、8.2应急准备和响应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O:5.3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现有3人，监管副总1人，采购员2人；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主要负责与供方有关的过程控制；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影响主要供应商相关方的环境行为；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</w:pPr>
            <w:r>
              <w:rPr>
                <w:rFonts w:hint="eastAsia" w:ascii="宋体" w:hAnsi="宋体" w:cs="Arial"/>
                <w:spacing w:val="-6"/>
                <w:szCs w:val="21"/>
              </w:rPr>
              <w:t>本部门的环境因素、危险源的识别、评价及控制；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目标</w:t>
            </w:r>
          </w:p>
        </w:tc>
        <w:tc>
          <w:tcPr>
            <w:tcW w:w="960" w:type="dxa"/>
          </w:tcPr>
          <w:p>
            <w:pPr>
              <w:jc w:val="center"/>
            </w:pPr>
            <w:r>
              <w:rPr>
                <w:rFonts w:hint="eastAsia" w:ascii="宋体" w:hAnsi="宋体" w:cs="Arial"/>
                <w:spacing w:val="-6"/>
                <w:szCs w:val="21"/>
              </w:rPr>
              <w:t>O:6.2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查见“质量\环境\职业健康安全目标分解考核表”，见采购部的目标：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a．固体废弃物分类处置率100%；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b．火灾、爆炸事故为0；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c.环保、安全资金提供及时率100%。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查见目标完成计划，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</w:pPr>
            <w:r>
              <w:rPr>
                <w:rFonts w:hint="eastAsia" w:ascii="宋体" w:hAnsi="宋体" w:cs="Arial"/>
                <w:spacing w:val="-6"/>
                <w:szCs w:val="21"/>
              </w:rPr>
              <w:t>2021.12，目标分解考核表显示，考核均已全部完成。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60" w:type="dxa"/>
          </w:tcPr>
          <w:p>
            <w:r>
              <w:rPr>
                <w:rFonts w:hint="eastAsia"/>
              </w:rPr>
              <w:t>危险源的识别与评价</w:t>
            </w:r>
          </w:p>
          <w:p>
            <w:r>
              <w:rPr>
                <w:rFonts w:hint="eastAsia"/>
              </w:rPr>
              <w:t>措施的策划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O:6.1.2</w:t>
            </w:r>
          </w:p>
          <w:p>
            <w:pPr>
              <w:jc w:val="center"/>
            </w:pPr>
            <w:r>
              <w:rPr>
                <w:rFonts w:hint="eastAsia" w:ascii="宋体" w:hAnsi="宋体" w:cs="Arial"/>
                <w:spacing w:val="-6"/>
                <w:szCs w:val="21"/>
              </w:rPr>
              <w:t>6.1.4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提供了环境因素和危险源识别评价与控制程序，无变化。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查“职业安全健康管理体系危险源辨识、风险评价、风险控制一览表”，识别了办公活动过程中的危险源，主要包括火灾、中毒和传染病、其他伤害、中暑、爆炸、触电、辐射等。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对识别出的危险源采取D=LEC进行评价，查到“不可接受风险清单”，评价出重大危险源包括：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  <w:t>潜在触电、火灾事故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  <w:t>机械伤害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  <w:t>耳聋</w:t>
            </w:r>
            <w:bookmarkStart w:id="0" w:name="_GoBack"/>
            <w:bookmarkEnd w:id="0"/>
            <w:r>
              <w:rPr>
                <w:rFonts w:hint="eastAsia" w:ascii="宋体" w:hAnsi="宋体" w:cs="Arial"/>
                <w:spacing w:val="-6"/>
                <w:szCs w:val="21"/>
              </w:rPr>
              <w:t>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经评价采购部无重大危险源。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策划了控制措施，制订了职业健康安全管理方案。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O:8.1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查见配置有灭火器，状态良好；监控摄像头运行正常；</w:t>
            </w: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禁止吸烟、无乱拉乱接电线、无超额电器使用；</w:t>
            </w: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提供“至相关方告知书”，介绍说，会对来公司的相关方进行告知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应急管理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E:8.2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ascii="宋体" w:hAnsi="宋体" w:cs="Arial" w:eastAsiaTheme="minorEastAsia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参加由生产部组织的演练，详见生产部记录。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Internatinal Standard united Certificatin C.,Ltd.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4B"/>
    <w:rsid w:val="00277B4B"/>
    <w:rsid w:val="002F18FF"/>
    <w:rsid w:val="00C26239"/>
    <w:rsid w:val="06514730"/>
    <w:rsid w:val="4BB34820"/>
    <w:rsid w:val="5DD73C84"/>
    <w:rsid w:val="6C753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  <w:ind w:firstLine="7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816</Characters>
  <Lines>6</Lines>
  <Paragraphs>1</Paragraphs>
  <TotalTime>0</TotalTime>
  <ScaleCrop>false</ScaleCrop>
  <LinksUpToDate>false</LinksUpToDate>
  <CharactersWithSpaces>957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2022-03-15T09:08:17Z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9239A2102F51457F8377089190BB508D</vt:lpwstr>
  </property>
  <property fmtid="{D5CDD505-2E9C-101B-9397-08002B2CF9AE}" pid="3" name="KSOProductBuildVer">
    <vt:lpwstr>2052-11.1.0.11365</vt:lpwstr>
  </property>
  <property fmtid="{D5CDD505-2E9C-101B-9397-08002B2CF9AE}" pid="4" name="MSIP_Label_e798273d-f5aa-46da-8e10-241f6dcd5f2d_Enabled">
    <vt:lpwstr>true</vt:lpwstr>
  </property>
  <property fmtid="{D5CDD505-2E9C-101B-9397-08002B2CF9AE}" pid="5" name="MSIP_Label_e798273d-f5aa-46da-8e10-241f6dcd5f2d_SetDate">
    <vt:lpwstr>2022-03-14T02:29:22Z</vt:lpwstr>
  </property>
  <property fmtid="{D5CDD505-2E9C-101B-9397-08002B2CF9AE}" pid="6" name="MSIP_Label_e798273d-f5aa-46da-8e10-241f6dcd5f2d_Method">
    <vt:lpwstr>Standard</vt:lpwstr>
  </property>
  <property fmtid="{D5CDD505-2E9C-101B-9397-08002B2CF9AE}" pid="7" name="MSIP_Label_e798273d-f5aa-46da-8e10-241f6dcd5f2d_Name">
    <vt:lpwstr>e798273d-f5aa-46da-8e10-241f6dcd5f2d</vt:lpwstr>
  </property>
  <property fmtid="{D5CDD505-2E9C-101B-9397-08002B2CF9AE}" pid="8" name="MSIP_Label_e798273d-f5aa-46da-8e10-241f6dcd5f2d_SiteId">
    <vt:lpwstr>c760270c-f3da-4cfa-9737-03808ef5579f</vt:lpwstr>
  </property>
  <property fmtid="{D5CDD505-2E9C-101B-9397-08002B2CF9AE}" pid="9" name="MSIP_Label_e798273d-f5aa-46da-8e10-241f6dcd5f2d_ActionId">
    <vt:lpwstr>bd5a03df-eb18-4c6f-986b-6b2e40412048</vt:lpwstr>
  </property>
  <property fmtid="{D5CDD505-2E9C-101B-9397-08002B2CF9AE}" pid="10" name="MSIP_Label_e798273d-f5aa-46da-8e10-241f6dcd5f2d_ContentBits">
    <vt:lpwstr>0</vt:lpwstr>
  </property>
</Properties>
</file>