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rPr>
                <w:rFonts w:hint="eastAsia"/>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AnsiTheme="minorEastAsia" w:eastAsiaTheme="minorEastAsia"/>
                <w:sz w:val="24"/>
                <w:szCs w:val="24"/>
              </w:rPr>
              <w:t>主管领导：</w:t>
            </w:r>
            <w:r>
              <w:rPr>
                <w:rFonts w:hint="eastAsia"/>
                <w:sz w:val="24"/>
                <w:szCs w:val="24"/>
                <w:lang w:val="en-US" w:eastAsia="zh-CN"/>
              </w:rPr>
              <w:t>胡庆春、肖园琴、张志卿（安全事务代表）</w:t>
            </w:r>
          </w:p>
          <w:p>
            <w:pPr>
              <w:spacing w:line="360" w:lineRule="auto"/>
              <w:rPr>
                <w:sz w:val="24"/>
                <w:szCs w:val="24"/>
              </w:rPr>
            </w:pPr>
            <w:r>
              <w:rPr>
                <w:rFonts w:hint="eastAsia"/>
                <w:sz w:val="24"/>
                <w:szCs w:val="24"/>
              </w:rPr>
              <w:t>陪同人员：</w:t>
            </w:r>
            <w:r>
              <w:rPr>
                <w:rFonts w:hint="eastAsia"/>
                <w:sz w:val="24"/>
                <w:szCs w:val="24"/>
                <w:lang w:val="en-US" w:eastAsia="zh-CN"/>
              </w:rPr>
              <w:t>傅志远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line="360" w:lineRule="auto"/>
            </w:pPr>
            <w:r>
              <w:rPr>
                <w:rFonts w:hint="eastAsia"/>
                <w:sz w:val="24"/>
                <w:szCs w:val="24"/>
              </w:rPr>
              <w:t>审核员：</w:t>
            </w:r>
            <w:r>
              <w:rPr>
                <w:rFonts w:hint="eastAsia"/>
                <w:sz w:val="24"/>
                <w:szCs w:val="24"/>
                <w:lang w:val="en-US" w:eastAsia="zh-CN"/>
              </w:rPr>
              <w:t xml:space="preserve">褚敏杰  徐爱红                   </w:t>
            </w:r>
            <w:r>
              <w:rPr>
                <w:rFonts w:hint="eastAsia"/>
                <w:sz w:val="24"/>
                <w:szCs w:val="24"/>
              </w:rPr>
              <w:t>审核时间：</w:t>
            </w:r>
            <w:r>
              <w:rPr>
                <w:rFonts w:hint="eastAsia"/>
                <w:sz w:val="24"/>
                <w:szCs w:val="24"/>
                <w:lang w:val="en-US" w:eastAsia="zh-CN"/>
              </w:rPr>
              <w:t>2022.3.10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adjustRightInd w:val="0"/>
              <w:snapToGrid w:val="0"/>
              <w:spacing w:line="24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E:4.1理解组织及其环境、4.2理解相关方的需求和期望、4.3确定管理体系的范围、4.4质量/环境管理体系及其过程、5.1领导作用、5.2质量/环境方针、5.3组织的岗位、职责和权限、6.1应对风险和机遇的措施、6.2质量/环境目标及其实现的策划、7.1.1（E7.1）资源总则、7.4沟通/信息交流、9.3管理评审、10.1改进、10.3持续改进</w:t>
            </w:r>
          </w:p>
          <w:p>
            <w:pPr>
              <w:adjustRightInd w:val="0"/>
              <w:snapToGrid w:val="0"/>
              <w:spacing w:line="24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Q6.3变更的策划</w:t>
            </w:r>
          </w:p>
          <w:p>
            <w:pPr>
              <w:spacing w:line="240" w:lineRule="auto"/>
              <w:rPr>
                <w:rFonts w:hint="eastAsia"/>
                <w:sz w:val="24"/>
                <w:szCs w:val="24"/>
              </w:rPr>
            </w:pPr>
            <w:r>
              <w:rPr>
                <w:rFonts w:hint="eastAsia" w:ascii="宋体" w:hAnsi="宋体" w:cs="Arial"/>
                <w:spacing w:val="-6"/>
                <w:sz w:val="21"/>
                <w:szCs w:val="21"/>
              </w:rPr>
              <w:t>标准/规范/法规的执行情况、上次审核不符合项的验证、认证证书、标志的使用情况、投诉或事故、监督抽查情况、体系变动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理解组织及其环境</w:t>
            </w:r>
          </w:p>
        </w:tc>
        <w:tc>
          <w:tcPr>
            <w:tcW w:w="960" w:type="dxa"/>
            <w:vAlign w:val="top"/>
          </w:tcPr>
          <w:p>
            <w:pPr>
              <w:spacing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4.1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江西欣盛泰实业有限公司是一家专门从事城市公共交通亭（棚）、广告棚（牌）、旅游咨询亭、治安亭（棚）、户外各类收费亭、报刊亭的生产及公共自行车服务亭（停车棚）的生产零售、国内贸易的公司。</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公司于2012年4月成立，注册资金3680万元。</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注册地址和生产经营地址：江西省樟树市城北（张家山）工业园1号路；</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拥有剪板机、数控等离子、数控冲压机、空压机、冲床、折弯机、电焊（氩弧焊机）、C2气体保护焊机、台式钻床、起重机、储气罐、污水处理装置、除尘装置等设备，另外有电子吊秤、涂层厚度仪、游标卡尺等计量设备；一般设备正常保养，特种设备和计量器具按期进行检定校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公司有一支具有专业水平和丰富经验的生产制造、工程施工和售后服务队伍，可为用户提供配套的、系统化的全方位服务。</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公司的主要产品集中于城市公共交通亭（棚）、广告棚（牌）、旅游咨询亭、治安亭（棚）、户外各类收费亭、报刊亭、公共自行车服务亭（停车棚）的生产。</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经交流得知公司</w:t>
            </w:r>
            <w:r>
              <w:rPr>
                <w:rFonts w:hint="default" w:ascii="宋体" w:hAnsi="宋体" w:cs="Arial"/>
                <w:spacing w:val="-6"/>
                <w:sz w:val="21"/>
                <w:szCs w:val="21"/>
                <w:lang w:val="en-US" w:eastAsia="zh-CN"/>
              </w:rPr>
              <w:t>通过定期的网站获取、顾客沟通、及定期内部总结等方式</w:t>
            </w:r>
            <w:r>
              <w:rPr>
                <w:rFonts w:hint="eastAsia" w:ascii="宋体" w:hAnsi="宋体" w:cs="Arial"/>
                <w:spacing w:val="-6"/>
                <w:sz w:val="21"/>
                <w:szCs w:val="21"/>
                <w:lang w:val="en-US" w:eastAsia="zh-CN"/>
              </w:rPr>
              <w:t>对内外部因素</w:t>
            </w:r>
            <w:r>
              <w:rPr>
                <w:rFonts w:hint="default" w:ascii="宋体" w:hAnsi="宋体" w:cs="Arial"/>
                <w:spacing w:val="-6"/>
                <w:sz w:val="21"/>
                <w:szCs w:val="21"/>
                <w:lang w:val="en-US" w:eastAsia="zh-CN"/>
              </w:rPr>
              <w:t>进行监视和评审</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外部因素：</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金属制品等行业持续新建发展带来的机遇，安全环保的法规和政府对生产加工业的环保性、安全性和质量提出了越来越高的要求，行业有着非常大的提升空间，并取得迅速的发展。</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国家政策合规性要求越来越高，产业化发展迅速，竞争激烈；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地方政府在市政建设投入加大，市场需求加大；</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国内文化、社会因素影响因素很小。</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与同类企业相比，具有</w:t>
            </w:r>
            <w:r>
              <w:rPr>
                <w:rFonts w:hint="eastAsia" w:ascii="宋体" w:hAnsi="宋体" w:cs="Arial"/>
                <w:spacing w:val="-6"/>
                <w:sz w:val="21"/>
                <w:szCs w:val="21"/>
                <w:lang w:val="en-US" w:eastAsia="zh-CN"/>
              </w:rPr>
              <w:t>设备先进、</w:t>
            </w:r>
            <w:r>
              <w:rPr>
                <w:rFonts w:hint="default" w:ascii="宋体" w:hAnsi="宋体" w:cs="Arial"/>
                <w:spacing w:val="-6"/>
                <w:sz w:val="21"/>
                <w:szCs w:val="21"/>
                <w:lang w:val="en-US" w:eastAsia="zh-CN"/>
              </w:rPr>
              <w:t>人员少、生产效率高</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生产周期短、技术力量</w:t>
            </w:r>
            <w:r>
              <w:rPr>
                <w:rFonts w:hint="eastAsia" w:ascii="宋体" w:hAnsi="宋体" w:cs="Arial"/>
                <w:spacing w:val="-6"/>
                <w:sz w:val="21"/>
                <w:szCs w:val="21"/>
                <w:lang w:val="en-US" w:eastAsia="zh-CN"/>
              </w:rPr>
              <w:t>强等</w:t>
            </w:r>
            <w:r>
              <w:rPr>
                <w:rFonts w:hint="default" w:ascii="宋体" w:hAnsi="宋体" w:cs="Arial"/>
                <w:spacing w:val="-6"/>
                <w:sz w:val="21"/>
                <w:szCs w:val="21"/>
                <w:lang w:val="en-US" w:eastAsia="zh-CN"/>
              </w:rPr>
              <w:t>优势。</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内部因素：</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公司的人员均为有多年生产实践经验和质检及相关岗位管理工作经验</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生产技术人员全部经过技能/合规性培训，业务熟练，质量意识</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环境保护意识</w:t>
            </w:r>
            <w:r>
              <w:rPr>
                <w:rFonts w:hint="eastAsia" w:ascii="宋体" w:hAnsi="宋体" w:cs="Arial"/>
                <w:spacing w:val="-6"/>
                <w:sz w:val="21"/>
                <w:szCs w:val="21"/>
                <w:lang w:val="en-US" w:eastAsia="zh-CN"/>
              </w:rPr>
              <w:t>、职业健康安全意识</w:t>
            </w:r>
            <w:r>
              <w:rPr>
                <w:rFonts w:hint="default" w:ascii="宋体" w:hAnsi="宋体" w:cs="Arial"/>
                <w:spacing w:val="-6"/>
                <w:sz w:val="21"/>
                <w:szCs w:val="21"/>
                <w:lang w:val="en-US" w:eastAsia="zh-CN"/>
              </w:rPr>
              <w:t>较强。</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采用先进成熟的生产工艺，产品</w:t>
            </w:r>
            <w:r>
              <w:rPr>
                <w:rFonts w:hint="eastAsia" w:ascii="宋体" w:hAnsi="宋体" w:cs="Arial"/>
                <w:spacing w:val="-6"/>
                <w:sz w:val="21"/>
                <w:szCs w:val="21"/>
                <w:lang w:val="en-US" w:eastAsia="zh-CN"/>
              </w:rPr>
              <w:t>质量、</w:t>
            </w:r>
            <w:r>
              <w:rPr>
                <w:rFonts w:hint="default" w:ascii="宋体" w:hAnsi="宋体" w:cs="Arial"/>
                <w:spacing w:val="-6"/>
                <w:sz w:val="21"/>
                <w:szCs w:val="21"/>
                <w:lang w:val="en-US" w:eastAsia="zh-CN"/>
              </w:rPr>
              <w:t>环境、职业健康安全有保证，规模较大，产能</w:t>
            </w:r>
            <w:r>
              <w:rPr>
                <w:rFonts w:hint="eastAsia" w:ascii="宋体" w:hAnsi="宋体" w:cs="Arial"/>
                <w:spacing w:val="-6"/>
                <w:sz w:val="21"/>
                <w:szCs w:val="21"/>
                <w:lang w:val="en-US" w:eastAsia="zh-CN"/>
              </w:rPr>
              <w:t>稍显不足</w:t>
            </w:r>
            <w:r>
              <w:rPr>
                <w:rFonts w:hint="default"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财务能保障公司质量/环境/职业健康安全管理体系运行所需</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公司的技术、销售基础设施、环保安全设施配备齐全、过程运行环境控制良好</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kern w:val="2"/>
                <w:sz w:val="21"/>
                <w:szCs w:val="21"/>
                <w:lang w:val="en-US" w:eastAsia="zh-CN" w:bidi="ar-SA"/>
              </w:rPr>
            </w:pPr>
            <w:r>
              <w:rPr>
                <w:rFonts w:hint="default" w:ascii="宋体" w:hAnsi="宋体" w:cs="Arial"/>
                <w:spacing w:val="-6"/>
                <w:sz w:val="21"/>
                <w:szCs w:val="21"/>
                <w:lang w:val="en-US" w:eastAsia="zh-CN"/>
              </w:rPr>
              <w:t>经查，符合要求。</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40" w:lineRule="auto"/>
              <w:rPr>
                <w:rFonts w:hint="eastAsia" w:ascii="宋体" w:hAnsi="宋体" w:cs="Arial"/>
                <w:spacing w:val="-6"/>
                <w:sz w:val="21"/>
                <w:szCs w:val="21"/>
              </w:rPr>
            </w:pPr>
            <w:r>
              <w:rPr>
                <w:rFonts w:hint="eastAsia" w:ascii="宋体" w:hAnsi="宋体" w:cs="Arial"/>
                <w:spacing w:val="-6"/>
                <w:sz w:val="21"/>
                <w:szCs w:val="21"/>
              </w:rPr>
              <w:t>理解相关方的需求和期望</w:t>
            </w:r>
          </w:p>
          <w:p>
            <w:pPr>
              <w:spacing w:line="240" w:lineRule="auto"/>
              <w:rPr>
                <w:rFonts w:hint="eastAsia" w:ascii="宋体" w:hAnsi="宋体" w:eastAsia="宋体" w:cs="Arial"/>
                <w:spacing w:val="-6"/>
                <w:kern w:val="2"/>
                <w:sz w:val="21"/>
                <w:szCs w:val="21"/>
                <w:lang w:val="en-US" w:eastAsia="zh-CN" w:bidi="ar-SA"/>
              </w:rPr>
            </w:pPr>
          </w:p>
        </w:tc>
        <w:tc>
          <w:tcPr>
            <w:tcW w:w="960" w:type="dxa"/>
            <w:vAlign w:val="top"/>
          </w:tcPr>
          <w:p>
            <w:pPr>
              <w:spacing w:line="360"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w:t>
            </w:r>
            <w:r>
              <w:rPr>
                <w:rFonts w:hint="eastAsia" w:ascii="宋体" w:hAnsi="宋体" w:cs="Arial"/>
                <w:spacing w:val="-6"/>
                <w:sz w:val="21"/>
                <w:szCs w:val="21"/>
              </w:rPr>
              <w:t>4.2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确定了与质量、环境、职业健康安全管理体系有关的相关方，主要包括：顾客、股东、员工、业务往来单位、供应商、第三方认证服务机构、外来施工单位、环保局、应急管理局、市场监督、供电所、员工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相关方对企业的要求有：遵守国家的现行法律法规、保持有效的资质、生产的产品节能环保，对环境无重大污染、无安全隐患、不断提高技术水平以及不断提高客户满意度等。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kern w:val="2"/>
                <w:sz w:val="21"/>
                <w:szCs w:val="21"/>
                <w:lang w:val="en-US" w:eastAsia="zh-CN" w:bidi="ar-SA"/>
              </w:rPr>
            </w:pPr>
            <w:r>
              <w:rPr>
                <w:rFonts w:hint="default" w:ascii="宋体" w:hAnsi="宋体" w:cs="Arial"/>
                <w:spacing w:val="-6"/>
                <w:sz w:val="21"/>
                <w:szCs w:val="21"/>
                <w:lang w:val="en-US" w:eastAsia="zh-CN"/>
              </w:rPr>
              <w:t>对这些相关方</w:t>
            </w:r>
            <w:r>
              <w:rPr>
                <w:rFonts w:hint="eastAsia" w:ascii="宋体" w:hAnsi="宋体" w:cs="Arial"/>
                <w:spacing w:val="-6"/>
                <w:sz w:val="21"/>
                <w:szCs w:val="21"/>
                <w:lang w:val="en-US" w:eastAsia="zh-CN"/>
              </w:rPr>
              <w:t>进行了不定期的监视</w:t>
            </w:r>
            <w:r>
              <w:rPr>
                <w:rFonts w:hint="default" w:ascii="宋体" w:hAnsi="宋体" w:cs="Arial"/>
                <w:spacing w:val="-6"/>
                <w:sz w:val="21"/>
                <w:szCs w:val="21"/>
                <w:lang w:val="en-US" w:eastAsia="zh-CN"/>
              </w:rPr>
              <w:t>和评审。</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40" w:lineRule="auto"/>
              <w:rPr>
                <w:rFonts w:hint="eastAsia" w:ascii="宋体" w:hAnsi="宋体" w:cs="Arial"/>
                <w:color w:val="auto"/>
                <w:spacing w:val="-6"/>
                <w:sz w:val="21"/>
                <w:szCs w:val="21"/>
              </w:rPr>
            </w:pPr>
            <w:r>
              <w:rPr>
                <w:rFonts w:hint="eastAsia" w:ascii="宋体" w:hAnsi="宋体" w:cs="Arial"/>
                <w:color w:val="auto"/>
                <w:spacing w:val="-6"/>
                <w:sz w:val="21"/>
                <w:szCs w:val="21"/>
              </w:rPr>
              <w:t>应对风险和机遇的措施</w:t>
            </w:r>
          </w:p>
          <w:p>
            <w:pPr>
              <w:spacing w:line="240" w:lineRule="auto"/>
              <w:rPr>
                <w:rFonts w:hint="eastAsia" w:ascii="宋体" w:hAnsi="宋体" w:cs="Arial"/>
                <w:color w:val="auto"/>
                <w:spacing w:val="-6"/>
                <w:sz w:val="21"/>
                <w:szCs w:val="21"/>
              </w:rPr>
            </w:pPr>
            <w:r>
              <w:rPr>
                <w:rFonts w:hint="eastAsia" w:ascii="宋体" w:hAnsi="宋体" w:cs="Arial"/>
                <w:color w:val="auto"/>
                <w:spacing w:val="-6"/>
                <w:sz w:val="21"/>
                <w:szCs w:val="21"/>
              </w:rPr>
              <w:t>确定管理体系的范围</w:t>
            </w:r>
          </w:p>
          <w:p>
            <w:pPr>
              <w:spacing w:line="240" w:lineRule="auto"/>
              <w:rPr>
                <w:rFonts w:hint="eastAsia" w:ascii="宋体" w:hAnsi="宋体" w:cs="Arial"/>
                <w:color w:val="auto"/>
                <w:spacing w:val="-6"/>
                <w:sz w:val="21"/>
                <w:szCs w:val="21"/>
              </w:rPr>
            </w:pPr>
            <w:r>
              <w:rPr>
                <w:rFonts w:hint="eastAsia" w:ascii="宋体" w:hAnsi="宋体" w:cs="Arial"/>
                <w:color w:val="auto"/>
                <w:spacing w:val="-6"/>
                <w:sz w:val="21"/>
                <w:szCs w:val="21"/>
              </w:rPr>
              <w:t>管理体系及其过程</w:t>
            </w:r>
          </w:p>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color w:val="auto"/>
                <w:spacing w:val="-6"/>
                <w:sz w:val="21"/>
                <w:szCs w:val="21"/>
              </w:rPr>
              <w:t>变更的策划</w:t>
            </w:r>
          </w:p>
        </w:tc>
        <w:tc>
          <w:tcPr>
            <w:tcW w:w="960" w:type="dxa"/>
            <w:vAlign w:val="top"/>
          </w:tcPr>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QE:6.1</w:t>
            </w:r>
          </w:p>
          <w:p>
            <w:pPr>
              <w:spacing w:line="360" w:lineRule="auto"/>
              <w:jc w:val="center"/>
              <w:rPr>
                <w:rFonts w:hint="eastAsia" w:ascii="宋体" w:hAnsi="宋体" w:cs="Arial"/>
                <w:spacing w:val="-6"/>
                <w:sz w:val="21"/>
                <w:szCs w:val="21"/>
              </w:rPr>
            </w:pPr>
            <w:r>
              <w:rPr>
                <w:rFonts w:hint="eastAsia" w:ascii="宋体" w:hAnsi="宋体" w:cs="Arial"/>
                <w:spacing w:val="-6"/>
                <w:sz w:val="21"/>
                <w:szCs w:val="21"/>
              </w:rPr>
              <w:t>4.3</w:t>
            </w:r>
          </w:p>
          <w:p>
            <w:pPr>
              <w:spacing w:line="360" w:lineRule="auto"/>
              <w:jc w:val="center"/>
              <w:rPr>
                <w:rFonts w:hint="eastAsia" w:ascii="宋体" w:hAnsi="宋体" w:cs="Arial"/>
                <w:spacing w:val="-6"/>
                <w:sz w:val="21"/>
                <w:szCs w:val="21"/>
              </w:rPr>
            </w:pPr>
            <w:r>
              <w:rPr>
                <w:rFonts w:hint="eastAsia" w:ascii="宋体" w:hAnsi="宋体" w:cs="Arial"/>
                <w:spacing w:val="-6"/>
                <w:sz w:val="21"/>
                <w:szCs w:val="21"/>
              </w:rPr>
              <w:t>4.4</w:t>
            </w:r>
          </w:p>
          <w:p>
            <w:pPr>
              <w:spacing w:line="360"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Q:6.3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机遇：</w:t>
            </w:r>
            <w:r>
              <w:rPr>
                <w:rFonts w:hint="default" w:ascii="宋体" w:hAnsi="宋体" w:cs="Arial"/>
                <w:spacing w:val="-6"/>
                <w:sz w:val="21"/>
                <w:szCs w:val="21"/>
                <w:lang w:val="en-US" w:eastAsia="zh-CN"/>
              </w:rPr>
              <w:t>行业市场的规模化，市场需求量很大</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销售市场巨大，目前市场经济对企业有较好的推动作用。</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风险：</w:t>
            </w:r>
            <w:r>
              <w:rPr>
                <w:rFonts w:hint="default" w:ascii="宋体" w:hAnsi="宋体" w:cs="Arial"/>
                <w:spacing w:val="-6"/>
                <w:sz w:val="21"/>
                <w:szCs w:val="21"/>
                <w:lang w:val="en-US" w:eastAsia="zh-CN"/>
              </w:rPr>
              <w:t>目前国内市场的同类产品有较多的品牌，竞争逐渐加剧</w:t>
            </w:r>
            <w:r>
              <w:rPr>
                <w:rFonts w:hint="eastAsia" w:ascii="宋体" w:hAnsi="宋体" w:cs="Arial"/>
                <w:spacing w:val="-6"/>
                <w:sz w:val="21"/>
                <w:szCs w:val="21"/>
                <w:lang w:val="en-US" w:eastAsia="zh-CN"/>
              </w:rPr>
              <w:t>，公司产能受限带来一定的交期风险</w:t>
            </w:r>
            <w:r>
              <w:rPr>
                <w:rFonts w:hint="default"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编制有《风险和机遇的应对控制程序》，对组织内外的风险和机遇进行了策划。</w:t>
            </w:r>
            <w:r>
              <w:rPr>
                <w:rFonts w:hint="eastAsia" w:ascii="宋体" w:hAnsi="宋体" w:cs="Arial"/>
                <w:spacing w:val="-6"/>
                <w:sz w:val="21"/>
                <w:szCs w:val="21"/>
                <w:lang w:val="en-US" w:eastAsia="zh-CN"/>
              </w:rPr>
              <w:t>介绍说，公司</w:t>
            </w:r>
            <w:r>
              <w:rPr>
                <w:rFonts w:hint="default" w:ascii="宋体" w:hAnsi="宋体" w:cs="Arial"/>
                <w:spacing w:val="-6"/>
                <w:sz w:val="21"/>
                <w:szCs w:val="21"/>
                <w:lang w:val="en-US" w:eastAsia="zh-CN"/>
              </w:rPr>
              <w:t>识别了风险和机遇来源、风险和机遇内容、管理措施、责任部门、实时时间、评价措施等</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重大环境因素：</w:t>
            </w:r>
            <w:r>
              <w:rPr>
                <w:rFonts w:hint="eastAsia" w:ascii="宋体" w:hAnsi="宋体" w:eastAsia="宋体" w:cs="Arial"/>
                <w:color w:val="auto"/>
                <w:spacing w:val="-6"/>
                <w:sz w:val="21"/>
                <w:szCs w:val="21"/>
                <w:lang w:val="en-US" w:eastAsia="zh-CN"/>
              </w:rPr>
              <w:t>噪声排放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潜在火灾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固废排放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粉尘排放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废气</w:t>
            </w:r>
            <w:bookmarkStart w:id="0" w:name="_GoBack"/>
            <w:bookmarkEnd w:id="0"/>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策划了控制措施，制定有管理方案，</w:t>
            </w:r>
            <w:r>
              <w:rPr>
                <w:rFonts w:hint="default" w:ascii="宋体" w:hAnsi="宋体" w:cs="Arial"/>
                <w:spacing w:val="-6"/>
                <w:sz w:val="21"/>
                <w:szCs w:val="21"/>
                <w:lang w:val="en-US" w:eastAsia="zh-CN"/>
              </w:rPr>
              <w:t>一旦发生按相关应急预案执行。</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为应对相应的风险和机遇，公司依据GB/T19001-2016、GB/T24001-2016标准的要求并结合本公司的具体情况，采取PDCA的过程方法，建立、实施、保持并持续改进质量、环境、职业健康安全管理体系。</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编制《管理手册》A/0版，管理体系于2019年10月10日建立并正式实施。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另编制程序文件26个，版本号：A/0，2019年10月10日实施；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作业指导书、操作规程：下料(剪板)作业指导书、冲压作业指导书、折弯作业指导书、、点焊机作业指导书、二保焊作业指导书、喷涂作业指导书、剪板机操作规程、冲床操作规程、折弯机操作规程等；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建立有外来文件清单，收集法律法规和技术标准、规范等7个；</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建立环境、职业健康安全法律法规和其他要求清单，共105个。</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本公司识别并确定了如下分工及过程：采购过程、生产过程、销售过程、检验与交付过程、绩效分析、评价与改进等多个过程。</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生产工艺流程如下：</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下料→冲压→折弯→焊接→打磨→喷漆→安装→包装</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关键过程有冲压、折弯、焊接、喷涂工序，需要确认关键过程是焊接和喷涂过程，焊接过程主要是控制焊接电流、电压、气体流量等，喷涂过程主要是控制色差、气压、喷嘴距离、温度、时间等，按作业指导书操作。</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管理手册中确定</w:t>
            </w:r>
            <w:r>
              <w:rPr>
                <w:rFonts w:hint="default" w:ascii="宋体" w:hAnsi="宋体" w:cs="Arial"/>
                <w:spacing w:val="-6"/>
                <w:sz w:val="21"/>
                <w:szCs w:val="21"/>
                <w:lang w:val="en-US" w:eastAsia="zh-CN"/>
              </w:rPr>
              <w:t>的认证范围：</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Q：城市公共交通亭（棚）、广告棚（牌）、旅游咨询亭、治安亭（棚）、户外各类收费亭、报刊亭的生产</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E：城市公共交通亭（棚）、广告棚（牌）、旅游咨询亭、治安亭（棚）、户外各类收费亭、报刊亭的生产所涉及的相关环境管理活动。</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经</w:t>
            </w:r>
            <w:r>
              <w:rPr>
                <w:rFonts w:hint="default" w:ascii="宋体" w:hAnsi="宋体" w:cs="Arial"/>
                <w:spacing w:val="-6"/>
                <w:sz w:val="21"/>
                <w:szCs w:val="21"/>
                <w:lang w:val="en-US" w:eastAsia="zh-CN"/>
              </w:rPr>
              <w:t>识别</w:t>
            </w:r>
            <w:r>
              <w:rPr>
                <w:rFonts w:hint="eastAsia" w:ascii="宋体" w:hAnsi="宋体" w:cs="Arial"/>
                <w:spacing w:val="-6"/>
                <w:sz w:val="21"/>
                <w:szCs w:val="21"/>
                <w:lang w:val="en-US" w:eastAsia="zh-CN"/>
              </w:rPr>
              <w:t>，公司</w:t>
            </w:r>
            <w:r>
              <w:rPr>
                <w:rFonts w:hint="default" w:ascii="宋体" w:hAnsi="宋体" w:cs="Arial"/>
                <w:spacing w:val="-6"/>
                <w:sz w:val="21"/>
                <w:szCs w:val="21"/>
                <w:lang w:val="en-US" w:eastAsia="zh-CN"/>
              </w:rPr>
              <w:t>无外包过程</w:t>
            </w:r>
            <w:r>
              <w:rPr>
                <w:rFonts w:hint="eastAsia" w:ascii="宋体" w:hAnsi="宋体" w:cs="Arial"/>
                <w:spacing w:val="-6"/>
                <w:sz w:val="21"/>
                <w:szCs w:val="21"/>
                <w:lang w:val="en-US" w:eastAsia="zh-CN"/>
              </w:rPr>
              <w:t>。</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40" w:lineRule="auto"/>
              <w:rPr>
                <w:rFonts w:hint="eastAsia" w:ascii="宋体" w:hAnsi="宋体" w:cs="Arial"/>
                <w:spacing w:val="-6"/>
                <w:sz w:val="21"/>
                <w:szCs w:val="21"/>
              </w:rPr>
            </w:pPr>
            <w:r>
              <w:rPr>
                <w:rFonts w:hint="eastAsia" w:ascii="宋体" w:hAnsi="宋体" w:cs="Arial"/>
                <w:spacing w:val="-6"/>
                <w:sz w:val="21"/>
                <w:szCs w:val="21"/>
              </w:rPr>
              <w:t>领导作用和承诺</w:t>
            </w:r>
          </w:p>
          <w:p>
            <w:pPr>
              <w:spacing w:line="240" w:lineRule="auto"/>
              <w:rPr>
                <w:rFonts w:hint="eastAsia" w:ascii="宋体" w:hAnsi="宋体" w:cs="Arial"/>
                <w:spacing w:val="-6"/>
                <w:sz w:val="21"/>
                <w:szCs w:val="21"/>
              </w:rPr>
            </w:pPr>
            <w:r>
              <w:rPr>
                <w:rFonts w:hint="eastAsia" w:ascii="宋体" w:hAnsi="宋体" w:cs="Arial"/>
                <w:spacing w:val="-6"/>
                <w:sz w:val="21"/>
                <w:szCs w:val="21"/>
              </w:rPr>
              <w:t>组织的岗位、职责和权限</w:t>
            </w:r>
          </w:p>
          <w:p>
            <w:pPr>
              <w:spacing w:line="240" w:lineRule="auto"/>
              <w:rPr>
                <w:rFonts w:hint="eastAsia" w:ascii="宋体" w:hAnsi="宋体" w:eastAsia="宋体" w:cs="Arial"/>
                <w:spacing w:val="-6"/>
                <w:kern w:val="2"/>
                <w:sz w:val="21"/>
                <w:szCs w:val="21"/>
                <w:lang w:val="en-US" w:eastAsia="zh-CN" w:bidi="ar-SA"/>
              </w:rPr>
            </w:pPr>
          </w:p>
        </w:tc>
        <w:tc>
          <w:tcPr>
            <w:tcW w:w="0" w:type="auto"/>
            <w:vAlign w:val="top"/>
          </w:tcPr>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QE:5.1</w:t>
            </w:r>
          </w:p>
          <w:p>
            <w:pPr>
              <w:spacing w:line="360" w:lineRule="auto"/>
              <w:jc w:val="center"/>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5.3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公司部门设置有：行政部</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生产部</w:t>
            </w:r>
            <w:r>
              <w:rPr>
                <w:rFonts w:hint="eastAsia" w:ascii="宋体" w:hAnsi="宋体" w:cs="Arial"/>
                <w:spacing w:val="-6"/>
                <w:sz w:val="21"/>
                <w:szCs w:val="21"/>
                <w:lang w:val="en-US" w:eastAsia="zh-CN"/>
              </w:rPr>
              <w:t>、市场部、</w:t>
            </w:r>
            <w:r>
              <w:rPr>
                <w:rFonts w:hint="default" w:ascii="宋体" w:hAnsi="宋体" w:cs="Arial"/>
                <w:spacing w:val="-6"/>
                <w:sz w:val="21"/>
                <w:szCs w:val="21"/>
                <w:lang w:val="en-US" w:eastAsia="zh-CN"/>
              </w:rPr>
              <w:t>采购部</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品质部</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财务部</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管理手册中明确了各部门职责</w:t>
            </w:r>
            <w:r>
              <w:rPr>
                <w:rFonts w:hint="default" w:ascii="宋体" w:hAnsi="宋体" w:cs="Arial"/>
                <w:spacing w:val="-6"/>
                <w:sz w:val="21"/>
                <w:szCs w:val="21"/>
                <w:lang w:val="en-US" w:eastAsia="zh-CN"/>
              </w:rPr>
              <w:t>。</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40" w:lineRule="auto"/>
              <w:rPr>
                <w:rFonts w:hint="eastAsia" w:ascii="宋体" w:hAnsi="宋体" w:cs="Arial"/>
                <w:spacing w:val="-6"/>
                <w:sz w:val="21"/>
                <w:szCs w:val="21"/>
              </w:rPr>
            </w:pPr>
            <w:r>
              <w:rPr>
                <w:rFonts w:hint="eastAsia" w:ascii="宋体" w:hAnsi="宋体" w:cs="Arial"/>
                <w:spacing w:val="-6"/>
                <w:sz w:val="21"/>
                <w:szCs w:val="21"/>
                <w:lang w:val="en-US" w:eastAsia="zh-CN"/>
              </w:rPr>
              <w:t>管理</w:t>
            </w:r>
            <w:r>
              <w:rPr>
                <w:rFonts w:hint="eastAsia" w:ascii="宋体" w:hAnsi="宋体" w:cs="Arial"/>
                <w:spacing w:val="-6"/>
                <w:sz w:val="21"/>
                <w:szCs w:val="21"/>
              </w:rPr>
              <w:t>方针</w:t>
            </w:r>
          </w:p>
          <w:p>
            <w:pPr>
              <w:spacing w:line="240" w:lineRule="auto"/>
              <w:rPr>
                <w:rFonts w:ascii="Times New Roman" w:hAnsi="Times New Roman" w:eastAsia="宋体" w:cs="Times New Roman"/>
                <w:kern w:val="2"/>
                <w:sz w:val="21"/>
                <w:lang w:val="en-US" w:eastAsia="zh-CN" w:bidi="ar-SA"/>
              </w:rPr>
            </w:pPr>
            <w:r>
              <w:rPr>
                <w:rFonts w:hint="eastAsia" w:ascii="宋体" w:hAnsi="宋体" w:cs="Arial"/>
                <w:spacing w:val="-6"/>
                <w:sz w:val="21"/>
                <w:szCs w:val="21"/>
              </w:rPr>
              <w:t>目标及其实现的策划</w:t>
            </w:r>
          </w:p>
        </w:tc>
        <w:tc>
          <w:tcPr>
            <w:tcW w:w="0" w:type="auto"/>
            <w:vAlign w:val="top"/>
          </w:tcPr>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QE:5.2</w:t>
            </w:r>
          </w:p>
          <w:p>
            <w:pPr>
              <w:spacing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6.2</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1.质量环境职业健康安全方针：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 xml:space="preserve">质量至上、持续创新、诚实守信、顾客至上 </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预防为主，降低风险；遵章守法，创造和谐</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方针适宜于公司现状，在管理手册中明确，通过文件发放，是员工获知，适用时提供给相关方。并以方针为框架，建立了公司管理目标：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质量目标：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产品出厂合格率100%；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顾客满意度≥95分 ；</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环保安全目标：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固体废弃物分类处置率100%；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火灾事故发生率为0；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提供了目标完成计划，策划了目标实现的措施。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基本符合。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保留“目标分解考核表”，显示对管理目标进行了分解，2021年12月考核，所有目标均已完成。</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资源总则</w:t>
            </w:r>
          </w:p>
        </w:tc>
        <w:tc>
          <w:tcPr>
            <w:tcW w:w="0" w:type="auto"/>
            <w:vAlign w:val="top"/>
          </w:tcPr>
          <w:p>
            <w:pPr>
              <w:spacing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QE:7.1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江西欣盛泰实业有限公司于2012年4月成立，注册资金3680万元，占地面积16000平方米；</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注册地址和生产经营地址：江西省樟树市城北（张家山）工业园1号路；</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主要生产设备：剪板机、数控等离子、数控冲压机、空压机、冲床、折弯机、电焊（氩弧焊机）、C2气体保护焊机、台式钻床等，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计量器具：电子吊秤、涂层厚度仪、游标卡尺等，按期进行检定校准；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公司现有员工40余人，具有生产制造专业水平，经验丰富。</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确认公司目前人力资源、基础设施、销售人员、财力、信息等资源均能保证。公司厂房，库房、行政部、会议室，现场配备了灭火器、消防栓等消防安全设备，能保证企业正常办公。</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公司财务能保证质量、环境、职业健康安全工作的开展，确保相关资金及时投入。</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kern w:val="2"/>
                <w:sz w:val="21"/>
                <w:szCs w:val="21"/>
                <w:lang w:val="en-US" w:eastAsia="zh-CN" w:bidi="ar-SA"/>
              </w:rPr>
            </w:pPr>
            <w:r>
              <w:rPr>
                <w:rFonts w:hint="default" w:ascii="宋体" w:hAnsi="宋体" w:cs="Arial"/>
                <w:spacing w:val="-6"/>
                <w:sz w:val="21"/>
                <w:szCs w:val="21"/>
                <w:lang w:val="en-US" w:eastAsia="zh-CN"/>
              </w:rPr>
              <w:t>基本能满足体系运行的要求。</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沟通/信息交流</w:t>
            </w:r>
          </w:p>
        </w:tc>
        <w:tc>
          <w:tcPr>
            <w:tcW w:w="0" w:type="auto"/>
            <w:vAlign w:val="top"/>
          </w:tcPr>
          <w:p>
            <w:pPr>
              <w:spacing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QE:7.4</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编制了《信息交流、协商和沟通控制程序》，确了内部外部信息交流的内容及职责，包含重要环境因素、管理方针、应急控制等的交流规定，基本符合。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日常对于质量、环保、安全方面的信息主要利用会议、培训、座谈、电话、网络、收文等方式进行内外部沟通和协商。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经交流，体系运行中，通过信息联络单、口头、电话、办公会议、生产现场协调会等方式进行内部沟通，通过宣贯培训让员工充分认识到质量环境、职业健康安全体系的要求。</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方面的要求进行沟通；同时将本公司的环境方面的要求以及法律法规通告相关方。</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内部、外部沟通协商的机制已建立运行，有效。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现场查见会议记录、通知通报、培训记录、文件签收等组织内部培训方式相关记录。</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管理评审</w:t>
            </w:r>
          </w:p>
        </w:tc>
        <w:tc>
          <w:tcPr>
            <w:tcW w:w="0" w:type="auto"/>
            <w:vAlign w:val="top"/>
          </w:tcPr>
          <w:p>
            <w:pPr>
              <w:spacing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QE:9.3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2022年1月12日召开管理评审会议，由胡庆春总经理主持；</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保留管理评审计划、管理评审报告、管理评审会议纪要等；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管理评审输入充分；对上年度管理评审改进措施进行了评审，基本落实。</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管理评审结论：管理体系的建立和运行是充分的、适宜的、有效的。</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改进措施要求：</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1）生产效率提升；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2）严格按照ISO进行供货 ；</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spacing w:line="240" w:lineRule="auto"/>
              <w:rPr>
                <w:rFonts w:hint="eastAsia" w:ascii="宋体" w:hAnsi="宋体" w:cs="Arial"/>
                <w:spacing w:val="-6"/>
                <w:sz w:val="21"/>
                <w:szCs w:val="21"/>
              </w:rPr>
            </w:pPr>
            <w:r>
              <w:rPr>
                <w:rFonts w:hint="eastAsia" w:ascii="宋体" w:hAnsi="宋体" w:cs="Arial"/>
                <w:spacing w:val="-6"/>
                <w:sz w:val="21"/>
                <w:szCs w:val="21"/>
              </w:rPr>
              <w:t>改进</w:t>
            </w:r>
          </w:p>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持续改进</w:t>
            </w:r>
          </w:p>
        </w:tc>
        <w:tc>
          <w:tcPr>
            <w:tcW w:w="0" w:type="auto"/>
            <w:vAlign w:val="top"/>
          </w:tcPr>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QE:10.1</w:t>
            </w:r>
          </w:p>
          <w:p>
            <w:pPr>
              <w:spacing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10.3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国家/地方抽查、顾客满意、相关方投诉处理</w:t>
            </w:r>
          </w:p>
        </w:tc>
        <w:tc>
          <w:tcPr>
            <w:tcW w:w="0" w:type="auto"/>
            <w:vAlign w:val="top"/>
          </w:tcPr>
          <w:p>
            <w:pPr>
              <w:spacing w:line="360" w:lineRule="auto"/>
              <w:rPr>
                <w:rFonts w:hint="default"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自公司成立以来，未受到上级主管部门有关质量、环境问题的行政处罚。</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未发生相关方的投诉。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暂时没有国家/地方抽查情况。</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目前没有相关行政主管部门的检查处罚，在审核现场也未发现抽查、相关方投诉等情况。</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通过发放顾客满意度调查，经统计分析，顾客满意率98.2%。</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0" w:type="auto"/>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验证资质</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经查验营业执照有效。信用平台查询，无不良信息。</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经查，公司在标准/规范/法规等方面执行良好，无不良记录。</w:t>
            </w:r>
          </w:p>
        </w:tc>
        <w:tc>
          <w:tcPr>
            <w:tcW w:w="0" w:type="auto"/>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认证证书、标志的使用情况</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证书与标志使用符合要求，未用于广告宣传。</w:t>
            </w:r>
          </w:p>
        </w:tc>
        <w:tc>
          <w:tcPr>
            <w:tcW w:w="0" w:type="auto"/>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0" w:type="auto"/>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上次审核不符合项的验证</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上次监督审核时未开不符合报告。</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Internatinal Standard united Certificatin C.,Ltd.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E304B"/>
    <w:rsid w:val="3E600069"/>
    <w:rsid w:val="50993902"/>
    <w:rsid w:val="765A1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2022-03-15T09:08:25Z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0CFBF703F5A74E5DB6476249B31B6C94</vt:lpwstr>
  </property>
  <property fmtid="{D5CDD505-2E9C-101B-9397-08002B2CF9AE}" pid="3" name="KSOProductBuildVer">
    <vt:lpwstr>2052-11.1.0.11365</vt:lpwstr>
  </property>
</Properties>
</file>