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225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9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受审核部门：市场部            主管领导：杨爱保       陪同人员：肖园琴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5" w:type="dxa"/>
            <w:vMerge w:val="continue"/>
            <w:vAlign w:val="center"/>
          </w:tcPr>
          <w:p/>
        </w:tc>
        <w:tc>
          <w:tcPr>
            <w:tcW w:w="122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审核员：褚敏杰  徐爱红        审核时间：2022.3.11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5" w:type="dxa"/>
            <w:vMerge w:val="continue"/>
            <w:vAlign w:val="center"/>
          </w:tcPr>
          <w:p/>
        </w:tc>
        <w:tc>
          <w:tcPr>
            <w:tcW w:w="1225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Q:5.3组织的岗位、职责和权限、6.2质量目标、8.2顾客要求、8.5.3顾客财产、8.5.5交付后活动、9.1.2顾客满意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岗位、职责和权限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QE:5.3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本部门现有人员3人，部长1人，管理人员2人；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主要负责：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与顾客有关的过程控制</w:t>
            </w:r>
            <w:r>
              <w:rPr>
                <w:rFonts w:hint="eastAsia" w:ascii="宋体" w:hAnsi="宋体" w:cs="Arial"/>
                <w:spacing w:val="-6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Cs w:val="21"/>
              </w:rPr>
              <w:t>顾客满意控制</w:t>
            </w:r>
            <w:r>
              <w:rPr>
                <w:rFonts w:hint="eastAsia" w:ascii="宋体" w:hAnsi="宋体" w:cs="Arial"/>
                <w:spacing w:val="-6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Cs w:val="21"/>
              </w:rPr>
              <w:t>销售服务的控制</w:t>
            </w:r>
            <w:r>
              <w:rPr>
                <w:rFonts w:hint="eastAsia" w:ascii="宋体" w:hAnsi="宋体" w:cs="Arial"/>
                <w:spacing w:val="-6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Cs w:val="21"/>
              </w:rPr>
              <w:t>顾客财产控制；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本部门环境因素危险源的识别评价控制。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目标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QE:6.2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查见“质量\环境\职业健康安全目标分解考核表”，见市场部的目标：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合同履约率达100%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顾客满意度达95%以上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固体废弃物分类处置率100%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火灾事故为0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查见目标完成计划，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2021.12，目标分解考核表显示，考核均已全部完成。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产品和服务的要求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交付后的活动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Q:8.2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8.5.5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</w:pPr>
            <w:r>
              <w:rPr>
                <w:rFonts w:hint="eastAsia"/>
              </w:rPr>
              <w:t>查见管理手册，其中明确了产品和服务的要求，包括：顾客沟通、与产品和服务有关要求的确定、与产品和服务有关要求的评审、与产品和服务有关要求的更改等要求；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</w:pPr>
            <w:r>
              <w:rPr>
                <w:rFonts w:hint="eastAsia"/>
              </w:rPr>
              <w:t>介绍说，公司产品主要通过招投标进行销售，中标后签订合同，抽查见：</w:t>
            </w:r>
          </w:p>
          <w:p>
            <w:pPr>
              <w:pStyle w:val="2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制作安装合同——江西高洁环保有限公司旅游咨询亭、户外各类收费亭、报刊亭，202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公交候车亭、治安亭制作安装合同——新疆齐亮德建设有限公司；202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广告栏、护栏项目合同书——杭州泊锦科技有限公司；202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.9；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介绍说，以上合同均是通过招投标流程，中标后签订。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查见上述合同中标通知书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符合。</w:t>
            </w:r>
          </w:p>
          <w:p>
            <w:pPr>
              <w:pStyle w:val="2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介绍说，交付后，在合同中明确了1年保修，1年后提供有偿售后服务。</w:t>
            </w:r>
          </w:p>
          <w:p>
            <w:pPr>
              <w:pStyle w:val="2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公司建立了售后服务的管理体系，并保持售后服务管理体系第三方机构的认证证书。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顾客或外部供方的财产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Q:8.5.3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介绍说，本公司无顾客或外部供方的财产。以后如果发生，按照管理手册8.5.3顾客或外部供方的财产条款实行。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顾客满意</w:t>
            </w:r>
          </w:p>
        </w:tc>
        <w:tc>
          <w:tcPr>
            <w:tcW w:w="122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Q:9.1.2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查见“顾客满意度控制程序”，有效文件；明确了顾客满意度监测方法。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查见“顾客满意程度调查表”，市场部于202</w:t>
            </w:r>
            <w:r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日进行顾客满意度调查，发放调查表</w:t>
            </w:r>
            <w:r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份，回收调查表共 </w:t>
            </w:r>
            <w:r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份，抽见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新疆齐亮德建设工程有限公司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等。调查项目包括产品质量、价格比、交货期、售后服务等。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查见“顾客满意度调查分析”，显示对本次调查的结果进行统计分析，顾客满意度98.2。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环境因素的识别与评价、措施的策划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E:6.1.2</w:t>
            </w:r>
          </w:p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6.1.4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提供了环境因素和危险源识别评价与控制程序，无变化。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查“环境因素辨识和评价表”，涉及市场部的环境因素有生活垃圾的处置不当污染环境、办公场所吸烟污染环境、复印机打印机废墨盒处置污染环境、火灾发生后废弃物污染大气、水土等。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采取打分法评价，查到“重要环境因素清单”，评价出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固废排放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cs="Arial"/>
                <w:spacing w:val="-6"/>
                <w:szCs w:val="21"/>
              </w:rPr>
              <w:t>为重要环境因素。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</w:pPr>
            <w:r>
              <w:rPr>
                <w:rFonts w:hint="eastAsia" w:ascii="宋体" w:hAnsi="宋体" w:cs="Arial"/>
                <w:spacing w:val="-6"/>
                <w:szCs w:val="21"/>
              </w:rPr>
              <w:t>经评价市场部无重要环境因素。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策划了控制措施，制订了环境管理方案。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9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运行策划和控制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396" w:firstLineChars="200"/>
              <w:rPr>
                <w:szCs w:val="22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现场观察：</w:t>
            </w:r>
            <w:r>
              <w:rPr>
                <w:rFonts w:hint="eastAsia"/>
                <w:szCs w:val="22"/>
              </w:rPr>
              <w:t>配置的办公桌符合人机工程要求，干净整洁，照明、通风良好；配置有空调，温度适宜；有少量绿植；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查见配置有灭火器，状态良好；监控摄像头运行正常；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节约用水用电、纸张双面使用、禁止吸烟、无乱拉乱接电线、无超额电器使用；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生活废水经市政管网排放；无工业废水</w:t>
            </w:r>
            <w:r>
              <w:rPr>
                <w:rFonts w:hint="eastAsia"/>
                <w:lang w:eastAsia="zh-CN"/>
              </w:rPr>
              <w:t>经污水处理后排放</w:t>
            </w:r>
            <w:bookmarkStart w:id="0" w:name="_GoBack"/>
            <w:bookmarkEnd w:id="0"/>
            <w:r>
              <w:rPr>
                <w:rFonts w:hint="eastAsia"/>
              </w:rPr>
              <w:t>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办公环境安静，无明显噪声和废气；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办公用固废集中回收，市政环卫部门收集处理；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办公用墨盒硒鼓等危废以旧换新。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查见“</w:t>
            </w:r>
            <w:r>
              <w:t>对顾客及相关方施加影响的管理规定</w:t>
            </w:r>
            <w:r>
              <w:rPr>
                <w:rFonts w:hint="eastAsia"/>
              </w:rPr>
              <w:t>”，有效文件。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5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应急管理</w:t>
            </w:r>
          </w:p>
        </w:tc>
        <w:tc>
          <w:tcPr>
            <w:tcW w:w="1225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参加由生产部组织的演练，详见生产部记录。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1C"/>
    <w:rsid w:val="00585DB5"/>
    <w:rsid w:val="00B75FCC"/>
    <w:rsid w:val="00C26F5A"/>
    <w:rsid w:val="00D3341C"/>
    <w:rsid w:val="00ED2120"/>
    <w:rsid w:val="00F36648"/>
    <w:rsid w:val="2F4D4726"/>
    <w:rsid w:val="570D053E"/>
    <w:rsid w:val="6978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ind w:firstLine="7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1470</Characters>
  <Lines>12</Lines>
  <Paragraphs>3</Paragraphs>
  <TotalTime>1</TotalTime>
  <ScaleCrop>false</ScaleCrop>
  <LinksUpToDate>false</LinksUpToDate>
  <CharactersWithSpaces>1724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2022-03-15T09:08:20Z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0A367475739C4734BE9F7FC03F8C4573</vt:lpwstr>
  </property>
  <property fmtid="{D5CDD505-2E9C-101B-9397-08002B2CF9AE}" pid="3" name="KSOProductBuildVer">
    <vt:lpwstr>2052-11.1.0.11365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2022-03-14T01:04:03Z</vt:lpwstr>
  </property>
  <property fmtid="{D5CDD505-2E9C-101B-9397-08002B2CF9AE}" pid="6" name="MSIP_Label_e798273d-f5aa-46da-8e10-241f6dcd5f2d_Method">
    <vt:lpwstr>Standard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b9bc37a9-cc83-4f9a-a413-ec2388bad420</vt:lpwstr>
  </property>
  <property fmtid="{D5CDD505-2E9C-101B-9397-08002B2CF9AE}" pid="10" name="MSIP_Label_e798273d-f5aa-46da-8e10-241f6dcd5f2d_ContentBits">
    <vt:lpwstr>0</vt:lpwstr>
  </property>
</Properties>
</file>