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财务部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张金玲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肖园琴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徐爱红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t>2022年03月1</w:t>
            </w:r>
            <w:r>
              <w:rPr>
                <w:rFonts w:hint="eastAsia"/>
                <w:lang w:val="en-US" w:eastAsia="zh-CN"/>
              </w:rPr>
              <w:t>8</w:t>
            </w:r>
            <w:r>
              <w:t>日</w:t>
            </w:r>
            <w:bookmarkEnd w:id="2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left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7.1资源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E:5.3组织的岗位、职责和权限、6.2环境/职业健康安全目标、6.1.2环境因素/危险源的识别与评价、6.1.4措施的策划、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:5.3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现有3人，部长1人，会计1人，出纳1人；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主要负责公司的资金管理；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本部门的环境因素、危险源的识别、评价及控制；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O:6.2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查见“质量\环境\职业健康安全目标分解考核表”，见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部的目标：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a．固体废弃物分类处置率100%；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b．火灾、爆炸事故为0；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c.环保、安全资金提供及时率100%。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查见目标完成计划，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2021.12，目标分解考核表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显示，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考核均已全部完成。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危险源的识别与评价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O:6.1.2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提供了环境因素和危险源识别评价与控制程序，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无变化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查“职业安全健康管理体系危险源辨识、风险评价、风险控制一览表”，识别了办公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活动过程中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的危险源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，主要包括火灾、中毒和传染病、其他伤害、中暑、爆炸、触电、辐射等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对识别出的危险源采取D=LEC进行评价，查到“不可接受风险清单”，评价出重大危险源包括：</w:t>
            </w:r>
            <w:bookmarkStart w:id="3" w:name="_GoBack"/>
            <w:r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  <w:t>潜在触电、火灾事故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  <w:t>机械伤害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  <w:t>耳聋</w:t>
            </w:r>
            <w:bookmarkEnd w:id="3"/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经评价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财务部无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重大危险源。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策划了控制措施，制订了环境、职业健康安全管理方案。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7.1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建立有财务管理制度；</w:t>
            </w:r>
          </w:p>
          <w:p>
            <w:pPr>
              <w:pStyle w:val="2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建立有安全生产费用科目，查见2021年：</w:t>
            </w:r>
          </w:p>
          <w:p>
            <w:pPr>
              <w:pStyle w:val="2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安全费用使用支出——71162元；</w:t>
            </w:r>
          </w:p>
          <w:p>
            <w:pPr>
              <w:pStyle w:val="2"/>
              <w:ind w:firstLine="396" w:firstLineChars="200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资金能够保障。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查见配置有灭火器，状态良好；监控摄像头运行正常；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禁止吸烟、无乱拉乱接电线、无超额电器使用.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O:8.2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 w:eastAsia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Internatinal Standard united Certificatin C.,Ltd.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20D0D"/>
    <w:rsid w:val="52354082"/>
    <w:rsid w:val="64353AF8"/>
    <w:rsid w:val="67BB4D46"/>
    <w:rsid w:val="709C6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2022-03-16T02:14:28Z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29DF96D94D774D67828665975765C10B</vt:lpwstr>
  </property>
  <property fmtid="{D5CDD505-2E9C-101B-9397-08002B2CF9AE}" pid="3" name="KSOProductBuildVer">
    <vt:lpwstr>2052-11.1.0.11365</vt:lpwstr>
  </property>
</Properties>
</file>