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0289-2021-EO-2022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重庆荣福玻璃销售有限公司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重庆荣福玻璃销售有限公司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重庆市永川区花桥乡箭滩村2幢</w:t>
            </w:r>
            <w:bookmarkEnd w:id="6"/>
          </w:p>
        </w:tc>
        <w:tc>
          <w:tcPr>
            <w:tcW w:w="1242" w:type="dxa"/>
            <w:vMerge w:val="restart"/>
            <w:vAlign w:val="center"/>
          </w:tcPr>
          <w:p>
            <w:r>
              <w:rPr>
                <w:rFonts w:hint="eastAsia"/>
              </w:rPr>
              <w:t>邮编</w:t>
            </w:r>
          </w:p>
        </w:tc>
        <w:tc>
          <w:tcPr>
            <w:tcW w:w="1771" w:type="dxa"/>
          </w:tcPr>
          <w:p>
            <w:bookmarkStart w:id="7" w:name="注册邮编"/>
            <w:r>
              <w:t>402195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重庆市永川区花桥乡箭滩村2幢</w:t>
            </w:r>
            <w:bookmarkEnd w:id="8"/>
          </w:p>
        </w:tc>
        <w:tc>
          <w:tcPr>
            <w:tcW w:w="1242" w:type="dxa"/>
            <w:vMerge w:val="continue"/>
            <w:vAlign w:val="center"/>
          </w:tcPr>
          <w:p/>
        </w:tc>
        <w:tc>
          <w:tcPr>
            <w:tcW w:w="1771" w:type="dxa"/>
          </w:tcPr>
          <w:p>
            <w:bookmarkStart w:id="9" w:name="办公邮编"/>
            <w:r>
              <w:t>402195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刘朝旭</w:t>
            </w:r>
            <w:bookmarkEnd w:id="10"/>
          </w:p>
        </w:tc>
        <w:tc>
          <w:tcPr>
            <w:tcW w:w="1313" w:type="dxa"/>
            <w:vAlign w:val="center"/>
          </w:tcPr>
          <w:p>
            <w:r>
              <w:rPr>
                <w:rFonts w:hint="eastAsia"/>
              </w:rPr>
              <w:t>电话.</w:t>
            </w:r>
          </w:p>
        </w:tc>
        <w:tc>
          <w:tcPr>
            <w:tcW w:w="2180" w:type="dxa"/>
            <w:vAlign w:val="center"/>
          </w:tcPr>
          <w:p>
            <w:bookmarkStart w:id="11" w:name="联系人电话"/>
            <w:r>
              <w:t>18385081074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董建培</w:t>
            </w:r>
            <w:bookmarkEnd w:id="13"/>
          </w:p>
        </w:tc>
        <w:tc>
          <w:tcPr>
            <w:tcW w:w="1313" w:type="dxa"/>
            <w:vAlign w:val="center"/>
          </w:tcPr>
          <w:p>
            <w:r>
              <w:rPr>
                <w:rFonts w:hint="eastAsia"/>
              </w:rPr>
              <w:t>管理者代表</w:t>
            </w:r>
          </w:p>
        </w:tc>
        <w:tc>
          <w:tcPr>
            <w:tcW w:w="2180" w:type="dxa"/>
          </w:tcPr>
          <w:p>
            <w:bookmarkStart w:id="14" w:name="管理者代表"/>
            <w:r>
              <w:t>肖爱国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ascii="Times New Roman" w:hAnsi="Times New Roman" w:eastAsia="宋体" w:cs="Times New Rom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default" w:ascii="宋体" w:hAnsi="宋体"/>
                <w:color w:val="000000"/>
                <w:sz w:val="21"/>
                <w:szCs w:val="21"/>
                <w:lang w:val="en-US" w:eastAsia="zh-CN"/>
              </w:rPr>
            </w:pPr>
            <w:r>
              <w:rPr>
                <w:rFonts w:hint="eastAsia" w:ascii="宋体" w:hAnsi="宋体"/>
                <w:color w:val="000000"/>
                <w:sz w:val="21"/>
                <w:szCs w:val="21"/>
                <w:lang w:val="en-US" w:eastAsia="zh-CN"/>
              </w:rPr>
              <w:t>产品销售流程：</w:t>
            </w:r>
          </w:p>
          <w:p>
            <w:pPr>
              <w:snapToGrid w:val="0"/>
              <w:spacing w:line="280" w:lineRule="exact"/>
              <w:jc w:val="left"/>
              <w:rPr>
                <w:rFonts w:hint="eastAsia" w:ascii="宋体" w:hAnsi="宋体" w:eastAsia="宋体"/>
                <w:color w:val="000000"/>
                <w:sz w:val="21"/>
                <w:szCs w:val="21"/>
                <w:lang w:eastAsia="zh-CN"/>
              </w:rPr>
            </w:pPr>
            <w:r>
              <w:rPr>
                <w:rFonts w:hint="eastAsia" w:ascii="宋体" w:hAnsi="宋体"/>
                <w:color w:val="000000"/>
                <w:sz w:val="21"/>
                <w:szCs w:val="21"/>
                <w:lang w:eastAsia="zh-CN"/>
              </w:rPr>
              <w:t>顾客洽谈</w:t>
            </w:r>
            <w:r>
              <w:rPr>
                <w:rFonts w:hint="eastAsia" w:ascii="宋体" w:hAnsi="宋体"/>
                <w:color w:val="000000"/>
                <w:sz w:val="21"/>
                <w:szCs w:val="21"/>
              </w:rPr>
              <w:t>→签订合同→产品销售→客户验收→售后服务</w:t>
            </w:r>
            <w:r>
              <w:rPr>
                <w:rFonts w:hint="eastAsia" w:ascii="宋体" w:hAnsi="宋体"/>
                <w:color w:val="000000"/>
                <w:sz w:val="21"/>
                <w:szCs w:val="21"/>
                <w:lang w:eastAsia="zh-CN"/>
              </w:rPr>
              <w:t>。</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2022年03月04日 上午至2022年03月04日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t>重庆市永川区花桥乡箭滩村2幢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hint="eastAsia"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rPr>
              <w:t>□</w:t>
            </w:r>
            <w:r>
              <w:rPr>
                <w:rFonts w:hint="eastAsia" w:ascii="宋体"/>
                <w:b/>
                <w:color w:val="0000FF"/>
                <w:szCs w:val="21"/>
              </w:rPr>
              <w:t>音频□</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hint="eastAsia"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rPr>
              <w:t>□已与受审核方签订信息安全协议□</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hint="eastAsia"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rPr>
              <w:t>□</w:t>
            </w:r>
            <w:r>
              <w:rPr>
                <w:rFonts w:hint="eastAsia" w:ascii="宋体"/>
                <w:b/>
                <w:color w:val="0000FF"/>
                <w:szCs w:val="21"/>
              </w:rPr>
              <w:t>网络□</w:t>
            </w:r>
            <w:r>
              <w:rPr>
                <w:rFonts w:hint="eastAsia" w:ascii="宋体"/>
                <w:b/>
                <w:color w:val="0000FF"/>
                <w:szCs w:val="21"/>
              </w:rPr>
              <w:t>智能手机□手持设备□</w:t>
            </w:r>
            <w:r>
              <w:rPr>
                <w:rFonts w:hint="eastAsia" w:ascii="宋体"/>
                <w:b/>
                <w:color w:val="0000FF"/>
                <w:szCs w:val="21"/>
              </w:rPr>
              <w:t>笔记本电脑□台式电脑□无人机□摄像机□可穿戴技术□人工智能□其他</w:t>
            </w:r>
          </w:p>
          <w:p>
            <w:pPr>
              <w:rPr>
                <w:rFonts w:hint="eastAsia" w:ascii="宋体"/>
                <w:b/>
                <w:color w:val="0000FF"/>
                <w:szCs w:val="21"/>
              </w:rPr>
            </w:pPr>
          </w:p>
          <w:p>
            <w:pPr>
              <w:rPr>
                <w:rFonts w:hint="eastAsia" w:ascii="宋体"/>
                <w:b/>
                <w:color w:val="0000FF"/>
                <w:szCs w:val="21"/>
              </w:rPr>
            </w:pPr>
          </w:p>
          <w:p>
            <w:pPr>
              <w:rPr>
                <w:rFonts w:hint="eastAsia" w:ascii="宋体"/>
                <w:b/>
                <w:color w:val="0000FF"/>
                <w:szCs w:val="21"/>
              </w:rPr>
            </w:pPr>
          </w:p>
          <w:p>
            <w:pPr>
              <w:rPr>
                <w:rFonts w:hint="eastAsia"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E：玻璃瓶的销售所涉及场所的相关环境管理活动</w:t>
            </w:r>
          </w:p>
          <w:p>
            <w:r>
              <w:t>O：玻璃瓶的销售所涉及场所的相关职业健康安全管理活动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E：29.08.04</w:t>
            </w:r>
          </w:p>
          <w:p>
            <w:r>
              <w:t>O：29.08.04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szCs w:val="22"/>
              </w:rPr>
              <w:t>2020年10月20日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szCs w:val="22"/>
              </w:rPr>
            </w:pPr>
            <w:r>
              <w:rPr>
                <w:rFonts w:hint="eastAsia" w:ascii="Times New Roman" w:hAnsi="Times New Roman"/>
                <w:szCs w:val="22"/>
              </w:rPr>
              <w:t>上次审核时间</w:t>
            </w:r>
          </w:p>
        </w:tc>
        <w:tc>
          <w:tcPr>
            <w:tcW w:w="2733" w:type="dxa"/>
            <w:vAlign w:val="center"/>
          </w:tcPr>
          <w:p>
            <w:pPr>
              <w:rPr>
                <w:rFonts w:hint="eastAsia" w:ascii="Times New Roman" w:hAnsi="Times New Roman"/>
                <w:szCs w:val="22"/>
              </w:rPr>
            </w:pPr>
            <w:r>
              <w:rPr>
                <w:rFonts w:hint="eastAsia" w:ascii="Times New Roman" w:hAnsi="Times New Roman"/>
                <w:szCs w:val="22"/>
              </w:rPr>
              <w:t>2021年04月11日</w:t>
            </w:r>
            <w:r>
              <w:rPr>
                <w:rFonts w:hint="eastAsia"/>
                <w:szCs w:val="22"/>
                <w:lang w:val="en-US" w:eastAsia="zh-CN"/>
              </w:rPr>
              <w:t>-</w:t>
            </w:r>
            <w:r>
              <w:rPr>
                <w:rFonts w:hint="eastAsia" w:ascii="Times New Roman" w:hAnsi="Times New Roman"/>
                <w:szCs w:val="22"/>
              </w:rPr>
              <w:t>12日</w:t>
            </w:r>
          </w:p>
        </w:tc>
        <w:tc>
          <w:tcPr>
            <w:tcW w:w="1883" w:type="dxa"/>
            <w:vAlign w:val="center"/>
          </w:tcPr>
          <w:p>
            <w:r>
              <w:rPr>
                <w:rFonts w:hint="eastAsia"/>
              </w:rPr>
              <w:t>认证证书有效期</w:t>
            </w:r>
          </w:p>
          <w:p>
            <w:r>
              <w:rPr>
                <w:rFonts w:hint="eastAsia"/>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18</w:t>
            </w:r>
            <w:r>
              <w:rPr>
                <w:rFonts w:hint="eastAsia"/>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01"/>
        <w:gridCol w:w="1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01" w:type="dxa"/>
            <w:shd w:val="clear" w:color="auto" w:fill="F3F3F3"/>
            <w:tcMar>
              <w:left w:w="57" w:type="dxa"/>
              <w:right w:w="57" w:type="dxa"/>
            </w:tcMar>
          </w:tcPr>
          <w:p>
            <w:r>
              <w:rPr>
                <w:rFonts w:hint="eastAsia"/>
              </w:rPr>
              <w:t>审核范围（产品和过程）</w:t>
            </w:r>
          </w:p>
          <w:p/>
          <w:p/>
        </w:tc>
        <w:tc>
          <w:tcPr>
            <w:tcW w:w="17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重庆荣福玻璃销售有限公司</w:t>
            </w:r>
            <w:r>
              <w:rPr>
                <w:rFonts w:hint="eastAsia" w:asciiTheme="minorEastAsia" w:hAnsiTheme="minorEastAsia" w:eastAsiaTheme="minorEastAsia"/>
                <w:sz w:val="20"/>
                <w:lang w:val="en-US" w:eastAsia="zh-CN"/>
              </w:rPr>
              <w:t>/</w:t>
            </w:r>
            <w:r>
              <w:rPr>
                <w:rFonts w:asciiTheme="minorEastAsia" w:hAnsiTheme="minorEastAsia" w:eastAsiaTheme="minorEastAsia"/>
                <w:sz w:val="20"/>
              </w:rPr>
              <w:t>重庆市永川区花桥乡箭滩村2幢</w:t>
            </w:r>
          </w:p>
        </w:tc>
        <w:tc>
          <w:tcPr>
            <w:tcW w:w="2267" w:type="dxa"/>
          </w:tcPr>
          <w:p>
            <w:pPr>
              <w:rPr>
                <w:lang w:val="de-DE" w:eastAsia="ja-JP"/>
              </w:rPr>
            </w:pPr>
            <w:r>
              <w:rPr>
                <w:rFonts w:asciiTheme="minorEastAsia" w:hAnsiTheme="minorEastAsia" w:eastAsiaTheme="minorEastAsia"/>
                <w:sz w:val="20"/>
              </w:rPr>
              <w:t>重庆市永川区花桥乡箭滩村2幢</w:t>
            </w:r>
          </w:p>
        </w:tc>
        <w:tc>
          <w:tcPr>
            <w:tcW w:w="571" w:type="dxa"/>
            <w:vAlign w:val="center"/>
          </w:tcPr>
          <w:p>
            <w:pPr>
              <w:rPr>
                <w:rFonts w:hint="default" w:eastAsia="宋体"/>
                <w:lang w:val="en-US" w:eastAsia="zh-CN"/>
              </w:rPr>
            </w:pPr>
            <w:r>
              <w:rPr>
                <w:rFonts w:hint="eastAsia"/>
                <w:lang w:val="en-US" w:eastAsia="zh-CN"/>
              </w:rPr>
              <w:t>25</w:t>
            </w:r>
          </w:p>
        </w:tc>
        <w:tc>
          <w:tcPr>
            <w:tcW w:w="1701" w:type="dxa"/>
            <w:vAlign w:val="center"/>
          </w:tcPr>
          <w:p>
            <w:pPr>
              <w:rPr>
                <w:sz w:val="20"/>
                <w:lang w:eastAsia="ja-JP"/>
              </w:rPr>
            </w:pPr>
            <w:r>
              <w:rPr>
                <w:sz w:val="20"/>
              </w:rPr>
              <w:t>玻璃瓶的销售</w:t>
            </w:r>
          </w:p>
        </w:tc>
        <w:tc>
          <w:tcPr>
            <w:tcW w:w="1771" w:type="dxa"/>
            <w:vAlign w:val="center"/>
          </w:tcPr>
          <w:p>
            <w:pPr>
              <w:rPr>
                <w:sz w:val="20"/>
                <w:lang w:eastAsia="ja-JP"/>
              </w:rPr>
            </w:pPr>
            <w:r>
              <w:rPr>
                <w:rFonts w:hint="eastAsia"/>
                <w:sz w:val="20"/>
              </w:rPr>
              <w:t>GB/T24001-2016</w:t>
            </w:r>
            <w:r>
              <w:rPr>
                <w:rFonts w:hint="eastAsia"/>
                <w:sz w:val="20"/>
                <w:lang w:eastAsia="zh-CN"/>
              </w:rPr>
              <w:t>、</w:t>
            </w:r>
            <w:r>
              <w:rPr>
                <w:rFonts w:hint="eastAsia"/>
                <w:sz w:val="20"/>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1"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1"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1"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01" w:type="dxa"/>
            <w:vAlign w:val="center"/>
          </w:tcPr>
          <w:p>
            <w:pPr>
              <w:rPr>
                <w:lang w:eastAsia="ja-JP"/>
              </w:rPr>
            </w:pPr>
          </w:p>
        </w:tc>
        <w:tc>
          <w:tcPr>
            <w:tcW w:w="177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E:29.08.04</w:t>
            </w:r>
          </w:p>
          <w:p>
            <w:r>
              <w:t>O:29.08.04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highlight w:val="none"/>
              </w:rPr>
            </w:pPr>
            <w:r>
              <w:rPr>
                <w:rFonts w:hint="eastAsia"/>
                <w:color w:val="auto"/>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eastAsia="宋体"/>
                <w:color w:val="auto"/>
                <w:highlight w:val="none"/>
                <w:lang w:val="en-US" w:eastAsia="zh-CN"/>
              </w:rPr>
            </w:pPr>
            <w:r>
              <w:rPr>
                <w:rFonts w:hint="eastAsia"/>
                <w:color w:val="auto"/>
                <w:highlight w:val="none"/>
                <w:lang w:val="en-US" w:eastAsia="zh-CN"/>
              </w:rPr>
              <w:t>上次不符合发生在行政部ES7.2条款,经本次现场验证无类似情况发生，整改有效。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rFonts w:hint="eastAsia" w:eastAsia="宋体"/>
          <w:lang w:val="en-US" w:eastAsia="zh-CN"/>
        </w:rPr>
      </w:pPr>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ascii="宋体" w:hAnsi="宋体" w:eastAsia="宋体" w:cs="宋体"/>
                <w:highlight w:val="none"/>
              </w:rPr>
              <w:t>■</w:t>
            </w: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highlight w:val="none"/>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玻璃瓶的销售所涉及场所的相关环境管理活动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玻璃瓶的销售所涉及场所的相关职业健康安全管理活动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lang w:eastAsia="zh-CN"/>
              </w:rPr>
              <w:t>■</w:t>
            </w:r>
            <w:r>
              <w:rPr>
                <w:rFonts w:hint="eastAsia"/>
                <w:highlight w:val="none"/>
              </w:rPr>
              <w:t>在完成纠正措施后推荐保持认证注册(</w:t>
            </w:r>
            <w:r>
              <w:rPr>
                <w:rFonts w:hint="eastAsia"/>
                <w:highlight w:val="none"/>
                <w:lang w:eastAsia="zh-CN"/>
              </w:rPr>
              <w:t>■</w:t>
            </w:r>
            <w:r>
              <w:rPr>
                <w:rFonts w:hint="eastAsia"/>
                <w:highlight w:val="none"/>
              </w:rPr>
              <w:t>监督审核</w:t>
            </w:r>
            <w:r>
              <w:rPr>
                <w:rFonts w:hint="eastAsia"/>
                <w:highlight w:val="none"/>
                <w:lang w:eastAsia="zh-CN"/>
              </w:rPr>
              <w:t>□</w:t>
            </w:r>
            <w:r>
              <w:rPr>
                <w:rFonts w:hint="eastAsia"/>
                <w:highlight w:val="none"/>
              </w:rPr>
              <w:t>再认证)</w:t>
            </w:r>
            <w:r>
              <w:rPr>
                <w:rFonts w:hint="eastAsia"/>
                <w:highlight w:val="none"/>
                <w:lang w:val="en-US" w:eastAsia="zh-CN"/>
              </w:rPr>
              <w:t>换发证书。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344805</wp:posOffset>
                  </wp:positionH>
                  <wp:positionV relativeFrom="paragraph">
                    <wp:posOffset>43180</wp:posOffset>
                  </wp:positionV>
                  <wp:extent cx="683895" cy="344805"/>
                  <wp:effectExtent l="0" t="0" r="1905" b="10795"/>
                  <wp:wrapNone/>
                  <wp:docPr id="2"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图片1"/>
                          <pic:cNvPicPr>
                            <a:picLocks noChangeAspect="1"/>
                          </pic:cNvPicPr>
                        </pic:nvPicPr>
                        <pic:blipFill>
                          <a:blip r:embed="rId6"/>
                          <a:stretch>
                            <a:fillRect/>
                          </a:stretch>
                        </pic:blipFill>
                        <pic:spPr>
                          <a:xfrm>
                            <a:off x="0" y="0"/>
                            <a:ext cx="683895" cy="3448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2022年3月5日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□工艺</w:t>
                  </w:r>
                  <w:r>
                    <w:rPr>
                      <w:rFonts w:hint="eastAsia"/>
                    </w:rPr>
                    <w:t xml:space="preserve">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□生产</w:t>
            </w:r>
            <w:r>
              <w:rPr>
                <w:rFonts w:hint="eastAsia"/>
              </w:rPr>
              <w:t xml:space="preserve">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w:t>
            </w:r>
            <w:r>
              <w:rPr>
                <w:rFonts w:hint="eastAsia" w:ascii="宋体" w:hAnsi="宋体" w:eastAsia="宋体" w:cs="宋体"/>
              </w:rPr>
              <w:t>■</w:t>
            </w:r>
            <w:r>
              <w:rPr>
                <w:rFonts w:hint="eastAsia"/>
              </w:rPr>
              <w:t xml:space="preserve">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rPr>
                <w:u w:val="single"/>
              </w:rPr>
            </w:pPr>
            <w:r>
              <w:rPr>
                <w:rFonts w:hint="eastAsia"/>
              </w:rPr>
              <w:t>最高管理者制定了文件化</w:t>
            </w:r>
            <w:r>
              <w:rPr>
                <w:rFonts w:hint="eastAsia"/>
                <w:highlight w:val="none"/>
              </w:rPr>
              <w:t>的管理体系方针：</w:t>
            </w:r>
            <w:r>
              <w:rPr>
                <w:rFonts w:hint="eastAsia" w:ascii="宋体" w:hAnsi="宋体"/>
                <w:color w:val="000000" w:themeColor="text1"/>
                <w:u w:val="single"/>
              </w:rPr>
              <w:t>“预防为主，遵规守法，确保环保安全；以人为本，持续改进，实现平安和谐”</w:t>
            </w:r>
            <w:r>
              <w:rPr>
                <w:rFonts w:hint="eastAsia"/>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lang w:val="en-US" w:eastAsia="zh-CN"/>
                    </w:rPr>
                    <w:t>固废排放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r>
                    <w:rPr>
                      <w:rFonts w:hint="eastAsia" w:ascii="宋体" w:hAnsi="宋体"/>
                      <w:color w:val="auto"/>
                      <w:szCs w:val="21"/>
                    </w:rPr>
                    <w:t>火灾发生率为0；</w:t>
                  </w:r>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r>
                    <w:rPr>
                      <w:rFonts w:hint="eastAsia" w:ascii="宋体" w:hAnsi="宋体"/>
                      <w:color w:val="auto"/>
                      <w:szCs w:val="21"/>
                      <w:lang w:eastAsia="zh-CN"/>
                    </w:rPr>
                    <w:t>固体废弃物100%分类收集，统一处理</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w:t>
            </w:r>
            <w:r>
              <w:rPr>
                <w:rFonts w:hint="eastAsia"/>
                <w:highlight w:val="none"/>
                <w:u w:val="single"/>
              </w:rPr>
              <w:t xml:space="preserve">  </w:t>
            </w:r>
            <w:r>
              <w:rPr>
                <w:rFonts w:hint="eastAsia"/>
                <w:highlight w:val="none"/>
              </w:rPr>
              <w:t>平方米；</w:t>
            </w:r>
            <w:r>
              <w:rPr>
                <w:rFonts w:hint="eastAsia"/>
                <w:highlight w:val="none"/>
                <w:lang w:val="en-US" w:eastAsia="zh-CN"/>
              </w:rPr>
              <w:t>办公场所</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电脑、打印机、空调等办公设备</w:t>
            </w:r>
            <w:r>
              <w:rPr>
                <w:rFonts w:hint="eastAsia"/>
                <w:highlight w:val="none"/>
                <w:u w:val="single"/>
              </w:rPr>
              <w:t xml:space="preserve">     </w:t>
            </w:r>
          </w:p>
          <w:p>
            <w:pPr>
              <w:spacing w:line="400" w:lineRule="exact"/>
              <w:rPr>
                <w:highlight w:val="none"/>
                <w:u w:val="single"/>
              </w:rPr>
            </w:pPr>
            <w:r>
              <w:rPr>
                <w:rFonts w:hint="eastAsia"/>
                <w:highlight w:val="none"/>
              </w:rPr>
              <w:t>主要环保设备有：</w:t>
            </w:r>
            <w:r>
              <w:rPr>
                <w:rFonts w:hint="eastAsia"/>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灭火器</w:t>
            </w:r>
            <w:r>
              <w:rPr>
                <w:rFonts w:hint="eastAsia"/>
                <w:highlight w:val="none"/>
                <w:u w:val="single"/>
              </w:rPr>
              <w:t xml:space="preserve">             </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无</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 xml:space="preserve">特种作业人员：  </w:t>
            </w:r>
          </w:p>
          <w:p>
            <w:pPr>
              <w:shd w:val="clear" w:color="auto" w:fill="EBF1DE" w:themeFill="accent3" w:themeFillTint="32"/>
            </w:pPr>
            <w:r>
              <w:rPr>
                <w:rFonts w:hint="eastAsia"/>
              </w:rPr>
              <w:t>特种设备作业人员：</w:t>
            </w:r>
            <w:r>
              <w:rPr>
                <w:rFonts w:hint="eastAsia"/>
                <w:u w:val="single"/>
                <w:lang w:val="en-US" w:eastAsia="zh-CN"/>
              </w:rPr>
              <w:t>叉车工</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u w:val="single"/>
              </w:rPr>
              <w:t xml:space="preserve">   </w:t>
            </w:r>
            <w:r>
              <w:rPr>
                <w:rFonts w:hint="eastAsia"/>
                <w:u w:val="single"/>
                <w:lang w:val="en-US" w:eastAsia="zh-CN"/>
              </w:rPr>
              <w:t>叉车一台</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叉车年检报告见附件</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eastAsia="zh-CN"/>
              </w:rPr>
            </w:pPr>
            <w:r>
              <w:rPr>
                <w:rFonts w:hint="eastAsia"/>
              </w:rPr>
              <w:t>组织在生产和服务提供的整个过程中</w:t>
            </w:r>
            <w:r>
              <w:rPr>
                <w:rFonts w:hint="eastAsia"/>
                <w:lang w:val="en-US" w:eastAsia="zh-CN"/>
              </w:rPr>
              <w:t>不涉及</w:t>
            </w:r>
            <w:r>
              <w:rPr>
                <w:rFonts w:hint="eastAsia"/>
              </w:rPr>
              <w:t>危化品</w:t>
            </w:r>
            <w:r>
              <w:rPr>
                <w:rFonts w:hint="eastAsia"/>
                <w:lang w:eastAsia="zh-CN"/>
              </w:rPr>
              <w:t>。</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宋体" w:hAnsi="宋体" w:eastAsia="宋体" w:cs="宋体"/>
                <w:lang w:eastAsia="zh-CN"/>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p>
          <w:p>
            <w:pPr>
              <w:shd w:val="clear" w:color="auto" w:fill="EBF1DE" w:themeFill="accent3" w:themeFillTint="32"/>
            </w:pPr>
            <w:r>
              <w:rPr>
                <w:rFonts w:hint="eastAsia" w:cs="Times New Roman"/>
                <w:highlight w:val="none"/>
                <w:u w:val="single"/>
                <w:lang w:eastAsia="zh-CN"/>
              </w:rPr>
              <w:t>于2021年11月22日进行火灾消防演练</w:t>
            </w:r>
            <w:r>
              <w:rPr>
                <w:rFonts w:hint="eastAsia" w:ascii="Times New Roman" w:hAnsi="Times New Roman" w:cs="Times New Roman"/>
                <w:highlight w:val="none"/>
                <w:u w:val="single"/>
              </w:rPr>
              <w:t>；</w:t>
            </w:r>
            <w:r>
              <w:rPr>
                <w:rFonts w:hint="eastAsia" w:ascii="Times New Roman" w:hAnsi="Times New Roman" w:cs="Times New Roman"/>
                <w:highlight w:val="none"/>
                <w:u w:val="none"/>
              </w:rPr>
              <w:t>并总</w:t>
            </w:r>
            <w:r>
              <w:rPr>
                <w:rFonts w:hint="eastAsia" w:ascii="Times New Roman" w:hAnsi="Times New Roman" w:cs="Times New Roman"/>
              </w:rPr>
              <w:t>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highlight w:val="none"/>
              </w:rPr>
            </w:pPr>
            <w:r>
              <w:rPr>
                <w:rFonts w:hint="eastAsia"/>
              </w:rPr>
              <w:t>实施</w:t>
            </w:r>
            <w:r>
              <w:rPr>
                <w:rFonts w:hint="eastAsia" w:ascii="Times New Roman" w:hAnsi="Times New Roman" w:cs="Times New Roman"/>
              </w:rPr>
              <w:t>合规性评</w:t>
            </w:r>
            <w:r>
              <w:rPr>
                <w:rFonts w:hint="eastAsia" w:ascii="Times New Roman" w:hAnsi="Times New Roman" w:cs="Times New Roman"/>
                <w:highlight w:val="none"/>
              </w:rPr>
              <w:t>价的时间：</w:t>
            </w:r>
          </w:p>
          <w:p>
            <w:pPr>
              <w:shd w:val="clear" w:color="auto" w:fill="EBF1DE" w:themeFill="accent3" w:themeFillTint="32"/>
              <w:rPr>
                <w:rFonts w:hint="eastAsia" w:ascii="Times New Roman" w:hAnsi="Times New Roman" w:cs="Times New Roman"/>
                <w:highlight w:val="none"/>
              </w:rPr>
            </w:pPr>
            <w:r>
              <w:rPr>
                <w:rFonts w:hint="eastAsia" w:ascii="宋体" w:hAnsi="宋体" w:eastAsia="宋体" w:cs="宋体"/>
                <w:highlight w:val="none"/>
                <w:lang w:eastAsia="zh-CN"/>
              </w:rPr>
              <w:t>■</w:t>
            </w:r>
            <w:r>
              <w:rPr>
                <w:rFonts w:hint="eastAsia" w:ascii="Times New Roman" w:hAnsi="Times New Roman" w:cs="Times New Roman"/>
                <w:highlight w:val="none"/>
              </w:rPr>
              <w:t>定期（每年） ：</w:t>
            </w:r>
            <w:r>
              <w:rPr>
                <w:rFonts w:hint="eastAsia" w:cs="Times New Roman"/>
                <w:highlight w:val="none"/>
                <w:u w:val="single"/>
                <w:lang w:val="en-US" w:eastAsia="zh-CN"/>
              </w:rPr>
              <w:t>2021年12月5日进行了评价，有评价记录，无结论报告</w:t>
            </w:r>
          </w:p>
          <w:p>
            <w:pPr>
              <w:shd w:val="clear" w:color="auto" w:fill="EBF1DE" w:themeFill="accent3" w:themeFillTint="32"/>
            </w:pPr>
            <w:r>
              <w:rPr>
                <w:rFonts w:hint="eastAsia"/>
                <w:highlight w:val="none"/>
              </w:rPr>
              <w:t>对评价合规性发现的问题，采取必要的措施</w:t>
            </w:r>
            <w:r>
              <w:rPr>
                <w:rFonts w:hint="eastAsia"/>
              </w:rPr>
              <w:t>；</w:t>
            </w:r>
            <w:r>
              <w:rPr>
                <w:rFonts w:hint="eastAsia" w:ascii="宋体" w:hAnsi="宋体" w:eastAsia="宋体" w:cs="宋体"/>
              </w:rPr>
              <w:t>■</w:t>
            </w:r>
            <w:r>
              <w:rPr>
                <w:rFonts w:hint="eastAsia" w:eastAsia="宋体"/>
                <w:lang w:val="en-US" w:eastAsia="zh-CN"/>
              </w:rPr>
              <w:t>末</w:t>
            </w:r>
            <w:r>
              <w:rPr>
                <w:rFonts w:hint="eastAsia"/>
              </w:rPr>
              <w:t>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组织在适当阶段实施</w:t>
            </w:r>
            <w:r>
              <w:rPr>
                <w:rFonts w:hint="eastAsia"/>
                <w:highlight w:val="none"/>
              </w:rPr>
              <w:t xml:space="preserve">策划的安排，以验证环境法律法规的要求已得到满足。 </w:t>
            </w:r>
          </w:p>
          <w:p>
            <w:pPr>
              <w:shd w:val="clear" w:color="auto" w:fill="EBF1DE" w:themeFill="accent3" w:themeFillTint="32"/>
              <w:rPr>
                <w:rFonts w:hint="eastAsia" w:eastAsia="宋体"/>
                <w:highlight w:val="none"/>
                <w:lang w:val="en-US" w:eastAsia="zh-CN"/>
              </w:rPr>
            </w:pPr>
            <w:r>
              <w:rPr>
                <w:rFonts w:hint="eastAsia"/>
                <w:highlight w:val="none"/>
              </w:rPr>
              <w:t>实施的检测：</w:t>
            </w:r>
            <w:r>
              <w:rPr>
                <w:rFonts w:hint="eastAsia"/>
                <w:highlight w:val="none"/>
                <w:lang w:val="en-US" w:eastAsia="zh-CN"/>
              </w:rPr>
              <w:t>无</w:t>
            </w: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cs="Times New Roman"/>
                <w:highlight w:val="none"/>
              </w:rPr>
              <w:t xml:space="preserve">策划于 </w:t>
            </w:r>
            <w:r>
              <w:rPr>
                <w:rFonts w:hint="eastAsia" w:ascii="宋体" w:hAnsi="宋体"/>
                <w:color w:val="auto"/>
                <w:szCs w:val="21"/>
                <w:highlight w:val="none"/>
                <w:u w:val="single"/>
                <w:lang w:eastAsia="zh-CN"/>
              </w:rPr>
              <w:t>2022年1月10日</w:t>
            </w:r>
            <w:r>
              <w:rPr>
                <w:rFonts w:hint="eastAsia" w:ascii="Times New Roman" w:hAnsi="Times New Roman" w:cs="Times New Roman"/>
                <w:highlight w:val="none"/>
              </w:rPr>
              <w:t xml:space="preserve">实施了环境管理体系内部审核，对环境管理体系的符合性和有效性进行了审核。内审发现的 </w:t>
            </w:r>
            <w:r>
              <w:rPr>
                <w:rFonts w:hint="eastAsia" w:ascii="Times New Roman" w:hAnsi="Times New Roman" w:cs="Times New Roman"/>
                <w:highlight w:val="none"/>
                <w:lang w:val="en-US" w:eastAsia="zh-CN"/>
              </w:rPr>
              <w:t>1</w:t>
            </w:r>
            <w:r>
              <w:rPr>
                <w:rFonts w:hint="eastAsia" w:ascii="Times New Roman" w:hAnsi="Times New Roman" w:cs="Times New Roman"/>
                <w:highlight w:val="none"/>
              </w:rPr>
              <w:t xml:space="preserve"> 项不符合在本次审核前已完成整改。在公司内完成的这些审核是可信的。</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w:t>
            </w:r>
            <w:r>
              <w:rPr>
                <w:rFonts w:hint="eastAsia" w:ascii="Times New Roman" w:hAnsi="Times New Roman" w:cs="Times New Roman"/>
                <w:highlight w:val="none"/>
              </w:rPr>
              <w:t>策划的时间间隔，在</w:t>
            </w:r>
            <w:r>
              <w:rPr>
                <w:rFonts w:hint="eastAsia"/>
                <w:highlight w:val="none"/>
                <w:u w:val="single"/>
                <w:lang w:val="en-US" w:eastAsia="zh-CN"/>
              </w:rPr>
              <w:t>2022年1月20日</w:t>
            </w:r>
            <w:r>
              <w:rPr>
                <w:rFonts w:hint="eastAsia" w:ascii="Times New Roman" w:hAnsi="Times New Roman" w:cs="Times New Roman"/>
                <w:highlight w:val="none"/>
              </w:rPr>
              <w:t>对组织的环境管理体系进行了评审，以确保其持续的适宜性、充分性和有效性；管理评审输入、输</w:t>
            </w:r>
            <w:r>
              <w:rPr>
                <w:rFonts w:hint="eastAsia"/>
                <w:highlight w:val="none"/>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□工艺</w:t>
                  </w:r>
                  <w:r>
                    <w:rPr>
                      <w:rFonts w:hint="eastAsia"/>
                    </w:rPr>
                    <w:t xml:space="preserve">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ascii="宋体" w:hAnsi="宋体" w:eastAsia="宋体" w:cs="宋体"/>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82"/>
              <w:rPr>
                <w:rFonts w:hint="eastAsia"/>
                <w:u w:val="single"/>
              </w:rPr>
            </w:pPr>
            <w:r>
              <w:rPr>
                <w:rFonts w:hint="eastAsia"/>
              </w:rPr>
              <w:t>最高管理者制定了文件化的职业健康安全管理体系方针</w:t>
            </w:r>
            <w:r>
              <w:rPr>
                <w:rFonts w:hint="eastAsia" w:ascii="宋体" w:hAnsi="宋体"/>
                <w:color w:val="000000" w:themeColor="text1"/>
                <w:u w:val="single"/>
              </w:rPr>
              <w:t>“预防为主，遵规守法，确保环保安全；以人为本，持续改进，实现平安和谐”</w:t>
            </w:r>
            <w:r>
              <w:rPr>
                <w:rFonts w:hint="eastAsia"/>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ascii="宋体" w:hAnsi="宋体" w:cs="宋体"/>
                <w:color w:val="auto"/>
                <w:szCs w:val="21"/>
                <w:highlight w:val="none"/>
                <w:lang w:eastAsia="zh-CN"/>
              </w:rPr>
              <w:t>文华东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火灾</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中暑</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highlight w:val="none"/>
                      <w:lang w:val="en-US" w:eastAsia="zh-CN"/>
                    </w:rPr>
                  </w:pPr>
                </w:p>
              </w:tc>
              <w:tc>
                <w:tcPr>
                  <w:tcW w:w="3965" w:type="dxa"/>
                  <w:vAlign w:val="top"/>
                </w:tcPr>
                <w:p>
                  <w:pPr>
                    <w:rPr>
                      <w:highlight w:val="none"/>
                    </w:rPr>
                  </w:pPr>
                </w:p>
              </w:tc>
              <w:tc>
                <w:tcPr>
                  <w:tcW w:w="1717"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highlight w:val="cyan"/>
                <w:lang w:val="en-US"/>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eastAsia" w:ascii="Times New Roman" w:hAnsi="Times New Roman" w:cs="Times New Roman"/>
                    </w:rPr>
                  </w:pPr>
                  <w:r>
                    <w:rPr>
                      <w:rFonts w:hint="eastAsia" w:ascii="Times New Roman" w:hAnsi="Times New Roman"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宋体" w:hAnsi="宋体"/>
                      <w:color w:val="auto"/>
                      <w:szCs w:val="21"/>
                    </w:rPr>
                    <w:t>火灾发生率为0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rPr>
                      <w:rFonts w:hint="eastAsia" w:ascii="宋体" w:hAnsi="宋体" w:cs="宋体"/>
                      <w:color w:val="auto"/>
                      <w:szCs w:val="21"/>
                    </w:rPr>
                    <w:t>员工意外伤害为0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w:t>
                  </w:r>
                  <w:r>
                    <w:rPr>
                      <w:rFonts w:hint="eastAsia" w:ascii="宋体" w:hAnsi="宋体" w:cs="宋体"/>
                      <w:color w:val="auto"/>
                      <w:szCs w:val="21"/>
                    </w:rPr>
                    <w:t>意外伤害</w:t>
                  </w:r>
                  <w:r>
                    <w:rPr>
                      <w:rFonts w:hint="eastAsia" w:ascii="宋体" w:hAnsi="宋体" w:cs="宋体"/>
                      <w:color w:val="auto"/>
                      <w:szCs w:val="21"/>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p>
              </w:tc>
            </w:tr>
          </w:tbl>
          <w:p>
            <w:bookmarkStart w:id="34" w:name="_GoBack"/>
            <w:bookmarkEnd w:id="34"/>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1000</w:t>
            </w:r>
            <w:r>
              <w:rPr>
                <w:rFonts w:hint="eastAsia"/>
                <w:u w:val="single"/>
              </w:rPr>
              <w:t xml:space="preserve"> </w:t>
            </w:r>
            <w:r>
              <w:rPr>
                <w:rFonts w:hint="eastAsia"/>
              </w:rPr>
              <w:t>平方米；</w:t>
            </w:r>
            <w:r>
              <w:rPr>
                <w:rFonts w:hint="eastAsia"/>
                <w:lang w:val="en-US" w:eastAsia="zh-CN"/>
              </w:rPr>
              <w:t>办公场地</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default"/>
                <w:u w:val="single"/>
                <w:lang w:val="en-US"/>
              </w:rPr>
            </w:pPr>
            <w:r>
              <w:rPr>
                <w:rFonts w:hint="eastAsia"/>
              </w:rPr>
              <w:t>主要生产设备有：</w:t>
            </w:r>
            <w:r>
              <w:rPr>
                <w:rFonts w:hint="eastAsia"/>
                <w:u w:val="single"/>
              </w:rPr>
              <w:t xml:space="preserve">  </w:t>
            </w:r>
            <w:r>
              <w:rPr>
                <w:rFonts w:hint="eastAsia"/>
                <w:highlight w:val="none"/>
                <w:u w:val="single"/>
                <w:lang w:val="en-US" w:eastAsia="zh-CN"/>
              </w:rPr>
              <w:t>电脑、打印机、空调等办公设备</w:t>
            </w:r>
          </w:p>
          <w:p>
            <w:pPr>
              <w:spacing w:line="400" w:lineRule="exact"/>
              <w:rPr>
                <w:u w:val="single"/>
              </w:rPr>
            </w:pPr>
            <w:r>
              <w:rPr>
                <w:rFonts w:hint="eastAsia"/>
              </w:rPr>
              <w:t>主要安全装置有：</w:t>
            </w:r>
            <w:r>
              <w:rPr>
                <w:rFonts w:hint="eastAsia"/>
                <w:szCs w:val="21"/>
                <w:highlight w:val="none"/>
                <w:u w:val="single"/>
              </w:rPr>
              <w:t>配电箱、空开</w:t>
            </w:r>
          </w:p>
          <w:p>
            <w:r>
              <w:rPr>
                <w:rFonts w:hint="eastAsia"/>
              </w:rPr>
              <w:t>特种设备：</w:t>
            </w:r>
            <w:r>
              <w:rPr>
                <w:rFonts w:hint="eastAsia" w:ascii="Wingdings" w:hAnsi="Wingdings"/>
                <w:u w:val="single"/>
                <w:lang w:val="en-US" w:eastAsia="zh-CN"/>
              </w:rPr>
              <w:t>叉车</w:t>
            </w:r>
            <w:r>
              <w:rPr>
                <w:rFonts w:hint="eastAsia"/>
              </w:rPr>
              <w:t xml:space="preserve"> </w:t>
            </w:r>
          </w:p>
          <w:p>
            <w:pPr>
              <w:rPr>
                <w:rFonts w:hint="eastAsia" w:eastAsia="宋体"/>
                <w:lang w:val="en-US" w:eastAsia="zh-CN"/>
              </w:rPr>
            </w:pPr>
            <w:r>
              <w:rPr>
                <w:rFonts w:hint="eastAsia"/>
              </w:rPr>
              <w:t>辅助场所：</w:t>
            </w:r>
            <w:r>
              <w:rPr>
                <w:rFonts w:hint="eastAsia"/>
                <w:u w:val="single"/>
                <w:lang w:val="en-US" w:eastAsia="zh-CN"/>
              </w:rPr>
              <w:t>仓库</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r>
              <w:rPr>
                <w:rFonts w:hint="eastAsia"/>
              </w:rPr>
              <w:t>对国家规定持证上岗的人员资质进行了有效的管理。</w:t>
            </w:r>
          </w:p>
          <w:p>
            <w:pPr>
              <w:rPr>
                <w:rFonts w:hint="eastAsia" w:eastAsia="宋体"/>
                <w:lang w:eastAsia="zh-CN"/>
              </w:rPr>
            </w:pPr>
            <w:r>
              <w:rPr>
                <w:rFonts w:hint="eastAsia"/>
              </w:rPr>
              <w:t>特种作业人员：</w:t>
            </w:r>
          </w:p>
          <w:p>
            <w:pPr>
              <w:rPr>
                <w:rFonts w:hint="default" w:eastAsia="宋体"/>
                <w:lang w:val="en-US" w:eastAsia="zh-CN"/>
              </w:rPr>
            </w:pPr>
            <w:r>
              <w:rPr>
                <w:rFonts w:hint="eastAsia"/>
              </w:rPr>
              <w:t>特种设备作业人员：</w:t>
            </w:r>
            <w:r>
              <w:rPr>
                <w:rFonts w:hint="eastAsia"/>
                <w:u w:val="single"/>
                <w:lang w:val="en-US" w:eastAsia="zh-CN"/>
              </w:rPr>
              <w:t>叉车工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制定管理方案，应急预案并演练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jc w:val="left"/>
              <w:rPr>
                <w:highlight w:val="none"/>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宋体" w:hAnsi="宋体" w:eastAsia="宋体" w:cs="宋体"/>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u w:val="single"/>
                <w:lang w:val="en-US" w:eastAsia="zh-CN"/>
              </w:rPr>
              <w:t>叉车年检报告见附件</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rPr>
                <w:rFonts w:hint="eastAsia" w:eastAsia="宋体"/>
              </w:rPr>
            </w:pPr>
            <w:r>
              <w:rPr>
                <w:rFonts w:hint="eastAsia" w:cs="Times New Roman"/>
                <w:u w:val="single"/>
                <w:lang w:eastAsia="zh-CN"/>
              </w:rPr>
              <w:t>于2021年11月22日进行火灾消防演练</w:t>
            </w:r>
            <w:r>
              <w:rPr>
                <w:rFonts w:hint="eastAsia" w:ascii="Times New Roman" w:hAnsi="Times New Roman" w:cs="Times New Roman"/>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highlight w:val="none"/>
              </w:rPr>
            </w:pPr>
            <w:r>
              <w:rPr>
                <w:rFonts w:hint="eastAsia" w:ascii="Times New Roman" w:hAnsi="Times New Roman" w:cs="Times New Roman"/>
              </w:rPr>
              <w:t>实施合规性评价</w:t>
            </w:r>
            <w:r>
              <w:rPr>
                <w:rFonts w:hint="eastAsia" w:ascii="Times New Roman" w:hAnsi="Times New Roman" w:cs="Times New Roman"/>
                <w:highlight w:val="none"/>
              </w:rPr>
              <w:t>的时间：</w:t>
            </w:r>
          </w:p>
          <w:p>
            <w:pPr>
              <w:rPr>
                <w:rFonts w:hint="default" w:ascii="Times New Roman" w:hAnsi="Times New Roman" w:cs="Times New Roman"/>
                <w:highlight w:val="none"/>
                <w:lang w:val="en-US"/>
              </w:rPr>
            </w:pPr>
            <w:r>
              <w:rPr>
                <w:rFonts w:hint="eastAsia" w:ascii="宋体" w:hAnsi="宋体" w:eastAsia="宋体" w:cs="宋体"/>
                <w:highlight w:val="none"/>
                <w:lang w:eastAsia="zh-CN"/>
              </w:rPr>
              <w:t>■</w:t>
            </w:r>
            <w:r>
              <w:rPr>
                <w:rFonts w:hint="eastAsia" w:ascii="Times New Roman" w:hAnsi="Times New Roman" w:cs="Times New Roman"/>
                <w:highlight w:val="none"/>
              </w:rPr>
              <w:t>定期（每年） ：</w:t>
            </w:r>
            <w:r>
              <w:rPr>
                <w:rFonts w:hint="eastAsia" w:cs="Times New Roman"/>
                <w:highlight w:val="none"/>
                <w:u w:val="single"/>
                <w:lang w:val="en-US" w:eastAsia="zh-CN"/>
              </w:rPr>
              <w:t>2021年12月5日进行了评价，有评价记录，无结论报告</w:t>
            </w:r>
          </w:p>
          <w:p>
            <w:r>
              <w:rPr>
                <w:rFonts w:hint="eastAsia"/>
              </w:rPr>
              <w:t>对评价合规性发现的问题，采取必要的措施；</w:t>
            </w:r>
            <w:r>
              <w:rPr>
                <w:rFonts w:hint="eastAsia" w:ascii="宋体" w:hAnsi="宋体" w:eastAsia="宋体" w:cs="宋体"/>
              </w:rPr>
              <w:t>■</w:t>
            </w:r>
            <w:r>
              <w:rPr>
                <w:rFonts w:hint="eastAsia" w:ascii="宋体" w:hAnsi="宋体" w:eastAsia="宋体" w:cs="宋体"/>
                <w:lang w:val="en-US" w:eastAsia="zh-CN"/>
              </w:rPr>
              <w:t>未</w:t>
            </w:r>
            <w:r>
              <w:rPr>
                <w:rFonts w:hint="eastAsia"/>
              </w:rPr>
              <w:t>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ascii="Wingdings" w:hAnsi="Wingdings"/>
                <w:highlight w:val="none"/>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w:t>
            </w:r>
            <w:r>
              <w:rPr>
                <w:rFonts w:hint="eastAsia"/>
                <w:highlight w:val="none"/>
              </w:rPr>
              <w:t>度策划于</w:t>
            </w:r>
            <w:r>
              <w:rPr>
                <w:rFonts w:hint="eastAsia" w:cs="Times New Roman"/>
                <w:highlight w:val="none"/>
                <w:u w:val="single"/>
                <w:lang w:val="en-US" w:eastAsia="zh-CN"/>
              </w:rPr>
              <w:t>2022年1月10日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w:t>
            </w:r>
            <w:r>
              <w:rPr>
                <w:rFonts w:hint="eastAsia"/>
                <w:highlight w:val="none"/>
              </w:rPr>
              <w:t>不符合在本次审核前已完成整改。在公司内完成的这些审核是可信的。</w:t>
            </w:r>
          </w:p>
          <w:p>
            <w:pPr>
              <w:rPr>
                <w:highlight w:val="none"/>
              </w:rPr>
            </w:pPr>
          </w:p>
          <w:p>
            <w:pPr>
              <w:rPr>
                <w:highlight w:val="none"/>
              </w:rPr>
            </w:pPr>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w:t>
            </w:r>
            <w:r>
              <w:rPr>
                <w:rFonts w:hint="eastAsia"/>
                <w:highlight w:val="none"/>
              </w:rPr>
              <w:t>，在</w:t>
            </w:r>
            <w:r>
              <w:rPr>
                <w:rFonts w:hint="eastAsia" w:ascii="Times New Roman" w:hAnsi="Times New Roman" w:cs="Times New Roman"/>
                <w:highlight w:val="none"/>
                <w:u w:val="single"/>
                <w:lang w:val="en-US" w:eastAsia="zh-CN"/>
              </w:rPr>
              <w:t>202</w:t>
            </w:r>
            <w:r>
              <w:rPr>
                <w:rFonts w:hint="eastAsia" w:cs="Times New Roman"/>
                <w:highlight w:val="none"/>
                <w:u w:val="single"/>
                <w:lang w:val="en-US" w:eastAsia="zh-CN"/>
              </w:rPr>
              <w:t>2</w:t>
            </w:r>
            <w:r>
              <w:rPr>
                <w:rFonts w:hint="eastAsia" w:ascii="Times New Roman" w:hAnsi="Times New Roman" w:cs="Times New Roman"/>
                <w:highlight w:val="none"/>
                <w:u w:val="single"/>
              </w:rPr>
              <w:t>年</w:t>
            </w:r>
            <w:r>
              <w:rPr>
                <w:rFonts w:hint="eastAsia" w:cs="Times New Roman"/>
                <w:highlight w:val="none"/>
                <w:u w:val="single"/>
                <w:lang w:val="en-US" w:eastAsia="zh-CN"/>
              </w:rPr>
              <w:t>1</w:t>
            </w:r>
            <w:r>
              <w:rPr>
                <w:rFonts w:hint="eastAsia" w:ascii="Times New Roman" w:hAnsi="Times New Roman" w:cs="Times New Roman"/>
                <w:highlight w:val="none"/>
                <w:u w:val="single"/>
              </w:rPr>
              <w:t>月</w:t>
            </w:r>
            <w:r>
              <w:rPr>
                <w:rFonts w:hint="eastAsia" w:cs="Times New Roman"/>
                <w:highlight w:val="none"/>
                <w:u w:val="single"/>
                <w:lang w:val="en-US" w:eastAsia="zh-CN"/>
              </w:rPr>
              <w:t>20</w:t>
            </w:r>
            <w:r>
              <w:rPr>
                <w:rFonts w:hint="eastAsia" w:ascii="Times New Roman" w:hAnsi="Times New Roman" w:cs="Times New Roman"/>
                <w:highlight w:val="none"/>
                <w:u w:val="single"/>
              </w:rPr>
              <w:t>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9"/>
        <w:tblpPr w:leftFromText="180" w:rightFromText="180" w:vertAnchor="text" w:horzAnchor="page" w:tblpX="1186" w:tblpY="125"/>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753520"/>
    <w:rsid w:val="0EE7435D"/>
    <w:rsid w:val="2C792640"/>
    <w:rsid w:val="499F68DA"/>
    <w:rsid w:val="61DB754F"/>
    <w:rsid w:val="712A5284"/>
    <w:rsid w:val="71895D74"/>
    <w:rsid w:val="74755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2022-03-04T06:43:44Z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