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color w:val="auto"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"/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3"/>
            <w:r>
              <w:rPr>
                <w:b/>
                <w:color w:val="auto"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color w:val="auto"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6" w:name="初审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6"/>
            <w:r>
              <w:rPr>
                <w:rFonts w:hint="eastAsia"/>
                <w:b/>
                <w:color w:val="auto"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auto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auto"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color w:val="auto"/>
                <w:szCs w:val="21"/>
              </w:rPr>
              <w:t>一</w:t>
            </w:r>
            <w:bookmarkEnd w:id="9"/>
            <w:r>
              <w:rPr>
                <w:rFonts w:hint="eastAsia"/>
                <w:b/>
                <w:color w:val="auto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auto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color w:val="auto"/>
              </w:rPr>
              <w:t>重庆合韵物业管理有限公司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color w:val="auto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  <w:t>杨佐锡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  <w:color w:val="auto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auto"/>
                <w:lang w:eastAsia="zh-CN"/>
              </w:rPr>
              <w:t>综合办公室</w:t>
            </w:r>
          </w:p>
          <w:p>
            <w:pPr>
              <w:jc w:val="right"/>
              <w:rPr>
                <w:rFonts w:ascii="方正仿宋简体" w:eastAsia="方正仿宋简体"/>
                <w:color w:val="auto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查应急准备：公司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/>
                <w:b/>
                <w:bCs/>
                <w:color w:val="auto"/>
              </w:rPr>
              <w:t>办公区域，按要求配置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有</w:t>
            </w:r>
            <w:r>
              <w:rPr>
                <w:rFonts w:hint="eastAsia"/>
                <w:b/>
                <w:bCs/>
                <w:color w:val="auto"/>
              </w:rPr>
              <w:t>灭火器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现场查见灭火器箱、疏散引导箱被遮挡，不符合标准GB/T24001-2016标准 8.2a)通过策划的措施做好响应紧急情况的准备，以预防或减轻它所带来的不利环境影响；不符合标准ISO45001：2018标准8.2a)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针对紧</w:t>
            </w:r>
            <w:bookmarkStart w:id="16" w:name="_GoBack"/>
            <w:bookmarkEnd w:id="16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急情况建立所策划的响应，包括提供急救。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8.1a)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8.1a)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2987675</wp:posOffset>
                  </wp:positionH>
                  <wp:positionV relativeFrom="paragraph">
                    <wp:posOffset>167005</wp:posOffset>
                  </wp:positionV>
                  <wp:extent cx="645795" cy="325755"/>
                  <wp:effectExtent l="0" t="0" r="1905" b="444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173355</wp:posOffset>
                  </wp:positionV>
                  <wp:extent cx="645795" cy="325755"/>
                  <wp:effectExtent l="0" t="0" r="1905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15918"/>
    <w:rsid w:val="3186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2022-03-02T04:50:28Z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