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91"/>
        <w:gridCol w:w="325"/>
        <w:gridCol w:w="86"/>
        <w:gridCol w:w="1004"/>
        <w:gridCol w:w="445"/>
        <w:gridCol w:w="1110"/>
        <w:gridCol w:w="39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重庆合韵物业管理有限公司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重庆市渝中区临江支路30号9-12号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3" w:name="_GoBack"/>
            <w:r>
              <w:rPr>
                <w:rFonts w:asciiTheme="minorEastAsia" w:hAnsiTheme="minorEastAsia" w:eastAsiaTheme="minorEastAsia"/>
                <w:sz w:val="20"/>
              </w:rPr>
              <w:t>重庆市渝北区龙溪街道新牌坊一路136号</w:t>
            </w:r>
            <w:bookmarkEnd w:id="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杨佐锡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023-63139705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1097208223@qq.com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highlight w:val="none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吴娅萌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0150-2021-EO-2022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2022年03月02日 上午至2022年03月02日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远程审核于2022年03月02日 上午至2022年03月02日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/>
        </w:tc>
        <w:tc>
          <w:tcPr>
            <w:tcW w:w="1440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51435</wp:posOffset>
                  </wp:positionV>
                  <wp:extent cx="639445" cy="322580"/>
                  <wp:effectExtent l="0" t="0" r="8255" b="762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11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82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0"/>
        <w:gridCol w:w="1330"/>
        <w:gridCol w:w="583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9:00-12:00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(午餐时间12:00-13:00)</w:t>
            </w:r>
          </w:p>
        </w:tc>
        <w:tc>
          <w:tcPr>
            <w:tcW w:w="13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3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；6.2目标及其实现的策划；7.1资源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化情况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法律法规执行情况，重大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事故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安全投诉，上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次不符合的整改情况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杨珍全（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（含财务部）</w:t>
            </w:r>
          </w:p>
        </w:tc>
        <w:tc>
          <w:tcPr>
            <w:tcW w:w="5833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次不符合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的验证）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；6.2目标及其达成的策划；7.4沟通；8.1运行策划和控制；8.2应急准备和响应；9.1监视、测量、分析与评估；9.1.2符合性评估；9.2内部审核；10.2不符合和纠正措施；10.3持续改进/EMS运行控制相关财务支出证据。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6.1.3法律法规要求和其他要求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次不符合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的验证）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实现的策划；7.4沟通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1330" w:type="dxa"/>
            <w:vMerge w:val="restart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物业管理处（含临时场所，临时场所与经营地一致）</w:t>
            </w:r>
          </w:p>
        </w:tc>
        <w:tc>
          <w:tcPr>
            <w:tcW w:w="5833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5.3组织的角色、职责和权限；6.2目标及其实现的策划；7.4信息和沟通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83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F0BEF"/>
    <w:rsid w:val="07C25DED"/>
    <w:rsid w:val="0A3333CC"/>
    <w:rsid w:val="1299596E"/>
    <w:rsid w:val="35614940"/>
    <w:rsid w:val="44E13321"/>
    <w:rsid w:val="4F6B0C39"/>
    <w:rsid w:val="50AC75A4"/>
    <w:rsid w:val="51CA292A"/>
    <w:rsid w:val="53857E6A"/>
    <w:rsid w:val="5BDE70F7"/>
    <w:rsid w:val="5CC44109"/>
    <w:rsid w:val="61D27EB7"/>
    <w:rsid w:val="770B1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2022-03-02T08:54:07Z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