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09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过程与活动、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hint="eastAsia"/>
                <w:sz w:val="24"/>
                <w:szCs w:val="24"/>
              </w:rPr>
              <w:t>抽样计划</w:t>
            </w:r>
          </w:p>
        </w:tc>
        <w:tc>
          <w:tcPr>
            <w:tcW w:w="10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涉及</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sz w:val="24"/>
                <w:szCs w:val="24"/>
              </w:rPr>
              <w:t>条款</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 xml:space="preserve">业务部       </w:t>
            </w:r>
            <w:r>
              <w:rPr>
                <w:rFonts w:hint="eastAsia"/>
                <w:sz w:val="24"/>
                <w:szCs w:val="24"/>
              </w:rPr>
              <w:t>主管领导：</w:t>
            </w:r>
            <w:r>
              <w:rPr>
                <w:rFonts w:hint="eastAsia"/>
                <w:sz w:val="24"/>
                <w:szCs w:val="24"/>
                <w:lang w:val="en-US" w:eastAsia="zh-CN"/>
              </w:rPr>
              <w:t xml:space="preserve">于卫红     </w:t>
            </w:r>
            <w:r>
              <w:rPr>
                <w:rFonts w:hint="eastAsia"/>
                <w:sz w:val="24"/>
                <w:szCs w:val="24"/>
              </w:rPr>
              <w:t>陪同人员：</w:t>
            </w:r>
            <w:r>
              <w:rPr>
                <w:rFonts w:hint="eastAsia"/>
                <w:sz w:val="24"/>
                <w:szCs w:val="24"/>
                <w:lang w:val="en-US" w:eastAsia="zh-CN"/>
              </w:rPr>
              <w:t>郭志华</w:t>
            </w:r>
          </w:p>
        </w:tc>
        <w:tc>
          <w:tcPr>
            <w:tcW w:w="158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sz w:val="24"/>
                <w:szCs w:val="24"/>
              </w:rPr>
              <w:t>审核员：</w:t>
            </w:r>
            <w:r>
              <w:rPr>
                <w:rFonts w:hint="eastAsia"/>
                <w:sz w:val="24"/>
                <w:szCs w:val="24"/>
                <w:lang w:val="en-US" w:eastAsia="zh-CN"/>
              </w:rPr>
              <w:t xml:space="preserve">伍光华              </w:t>
            </w:r>
            <w:r>
              <w:rPr>
                <w:rFonts w:hint="eastAsia"/>
                <w:sz w:val="24"/>
                <w:szCs w:val="24"/>
              </w:rPr>
              <w:t>审核时间：</w:t>
            </w:r>
            <w:r>
              <w:rPr>
                <w:rFonts w:hint="eastAsia"/>
                <w:sz w:val="24"/>
                <w:szCs w:val="24"/>
                <w:lang w:val="en-US" w:eastAsia="zh-CN"/>
              </w:rPr>
              <w:t>2022年3月4</w:t>
            </w:r>
            <w:bookmarkStart w:id="0" w:name="_GoBack"/>
            <w:bookmarkEnd w:id="0"/>
            <w:r>
              <w:rPr>
                <w:rFonts w:hint="eastAsia"/>
                <w:sz w:val="24"/>
                <w:szCs w:val="24"/>
                <w:lang w:val="en-US" w:eastAsia="zh-CN"/>
              </w:rPr>
              <w:t>日</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0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9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审核条款：</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rPr>
            </w:pPr>
            <w:r>
              <w:rPr>
                <w:rFonts w:hint="eastAsia"/>
                <w:sz w:val="21"/>
                <w:szCs w:val="21"/>
              </w:rPr>
              <w:t>组织的岗位、职责权限；目标、指标管理方案；危险源识别评价；运行的策划和控制；应急准备和响应</w:t>
            </w:r>
          </w:p>
          <w:p>
            <w:pPr>
              <w:adjustRightInd w:val="0"/>
              <w:snapToGrid w:val="0"/>
              <w:ind w:right="105" w:rightChars="50"/>
              <w:jc w:val="both"/>
              <w:textAlignment w:val="baseline"/>
              <w:rPr>
                <w:rFonts w:hint="eastAsia"/>
                <w:sz w:val="24"/>
                <w:szCs w:val="24"/>
              </w:rPr>
            </w:pPr>
            <w:r>
              <w:rPr>
                <w:rFonts w:hint="eastAsia"/>
                <w:sz w:val="21"/>
                <w:szCs w:val="21"/>
                <w:lang w:val="en-US" w:eastAsia="zh-CN"/>
              </w:rPr>
              <w:t>涉及条款：O</w:t>
            </w:r>
            <w:r>
              <w:rPr>
                <w:rFonts w:hint="eastAsia"/>
                <w:sz w:val="21"/>
                <w:szCs w:val="21"/>
              </w:rPr>
              <w:t>5.3/6.1.2/6.2/8.1/8.</w:t>
            </w:r>
            <w:r>
              <w:rPr>
                <w:rFonts w:hint="eastAsia"/>
                <w:sz w:val="21"/>
                <w:szCs w:val="21"/>
                <w:lang w:val="en-US" w:eastAsia="zh-CN"/>
              </w:rPr>
              <w:t>2</w:t>
            </w:r>
          </w:p>
        </w:tc>
        <w:tc>
          <w:tcPr>
            <w:tcW w:w="1585"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Arial"/>
                <w:color w:val="auto"/>
                <w:spacing w:val="-6"/>
                <w:sz w:val="21"/>
                <w:szCs w:val="21"/>
              </w:rPr>
              <w:t>组织的岗位、职责和权限</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O</w:t>
            </w:r>
            <w:r>
              <w:rPr>
                <w:rFonts w:hint="eastAsia" w:ascii="宋体" w:hAnsi="宋体" w:eastAsia="宋体" w:cs="Arial"/>
                <w:color w:val="auto"/>
                <w:spacing w:val="-6"/>
                <w:sz w:val="21"/>
                <w:szCs w:val="21"/>
                <w:lang w:val="en-US" w:eastAsia="zh-CN"/>
              </w:rPr>
              <w:t>:5.3</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业务部</w:t>
            </w:r>
            <w:r>
              <w:rPr>
                <w:rFonts w:hint="eastAsia" w:ascii="宋体" w:hAnsi="宋体" w:eastAsia="宋体" w:cs="Arial"/>
                <w:color w:val="auto"/>
                <w:spacing w:val="-6"/>
                <w:sz w:val="21"/>
                <w:szCs w:val="21"/>
                <w:lang w:val="en-US" w:eastAsia="zh-CN"/>
              </w:rPr>
              <w:t>主要职责：</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 组织实施产品的采购，确保采购产品的质量和供应及时；</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•负责组织合格供方的考察和评审，建立互利的供方关系；</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•负责实施采购计划，采购产品不合格时，负责组织退货；</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•负责采购过程的有效控制，做好合格供方供货质量的动态管理；</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•负责销售服务的策划、过程服务工作；</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•主持公司销售服务前、服务中各项工作的开展实施；</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•负责客户接受产品不合格的处置工作；</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•负责销售服务过程的监控等工作；</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•负责定期对顾客的满意度进行调查并不断进行持续改进。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sz w:val="21"/>
                <w:szCs w:val="21"/>
              </w:rPr>
              <w:t>•辨识并评价本部门的环境因素、危险源，并按要求实施控制。</w:t>
            </w:r>
            <w:r>
              <w:rPr>
                <w:rFonts w:hint="eastAsia" w:ascii="宋体" w:hAnsi="宋体" w:eastAsia="宋体" w:cs="Arial"/>
                <w:color w:val="auto"/>
                <w:spacing w:val="-6"/>
                <w:sz w:val="21"/>
                <w:szCs w:val="21"/>
                <w:lang w:val="en-US" w:eastAsia="zh-CN"/>
              </w:rPr>
              <w:t>7）识别并控制本部门的环境因素及危险因素，</w:t>
            </w:r>
            <w:r>
              <w:rPr>
                <w:rFonts w:hint="eastAsia" w:ascii="宋体" w:hAnsi="宋体" w:cs="Arial"/>
                <w:color w:val="auto"/>
                <w:spacing w:val="-6"/>
                <w:sz w:val="21"/>
                <w:szCs w:val="21"/>
                <w:lang w:val="en-US" w:eastAsia="zh-CN"/>
              </w:rPr>
              <w:t xml:space="preserve"> </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目标及实现的策划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O:6.2</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 xml:space="preserve">查见“2021-2022年度目标分解一览表”， </w:t>
            </w:r>
          </w:p>
          <w:p>
            <w:pPr>
              <w:pStyle w:val="7"/>
              <w:rPr>
                <w:rFonts w:hint="eastAsia"/>
                <w:lang w:val="en-US" w:eastAsia="zh-CN"/>
              </w:rPr>
            </w:pPr>
            <w:r>
              <w:rPr>
                <w:rFonts w:hint="eastAsia"/>
                <w:color w:val="auto"/>
                <w:szCs w:val="22"/>
                <w:lang w:val="en-US" w:eastAsia="zh-CN"/>
              </w:rPr>
              <w:t xml:space="preserve"> </w:t>
            </w:r>
            <w:r>
              <w:rPr>
                <w:rFonts w:hint="eastAsia" w:cs="Times New Roman"/>
                <w:color w:val="000000" w:themeColor="text1"/>
                <w:highlight w:val="none"/>
                <w:lang w:val="en-US" w:eastAsia="zh-CN"/>
                <w14:textFill>
                  <w14:solidFill>
                    <w14:schemeClr w14:val="tx1"/>
                  </w14:solidFill>
                </w14:textFill>
              </w:rPr>
              <w:t>被考核部门     目标指标          计算公式             考核频次          2021.11-2022.2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default"/>
                <w:color w:val="auto"/>
                <w:szCs w:val="22"/>
                <w:lang w:val="en-US" w:eastAsia="zh-CN"/>
              </w:rPr>
              <w:drawing>
                <wp:inline distT="0" distB="0" distL="114300" distR="114300">
                  <wp:extent cx="5800725" cy="736600"/>
                  <wp:effectExtent l="0" t="0" r="5715" b="10160"/>
                  <wp:docPr id="21" name="图片 21" descr="1646373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46373248(1)"/>
                          <pic:cNvPicPr>
                            <a:picLocks noChangeAspect="1"/>
                          </pic:cNvPicPr>
                        </pic:nvPicPr>
                        <pic:blipFill>
                          <a:blip r:embed="rId6"/>
                          <a:stretch>
                            <a:fillRect/>
                          </a:stretch>
                        </pic:blipFill>
                        <pic:spPr>
                          <a:xfrm>
                            <a:off x="0" y="0"/>
                            <a:ext cx="5800725" cy="736600"/>
                          </a:xfrm>
                          <a:prstGeom prst="rect">
                            <a:avLst/>
                          </a:prstGeom>
                        </pic:spPr>
                      </pic:pic>
                    </a:graphicData>
                  </a:graphic>
                </wp:inline>
              </w:drawing>
            </w:r>
          </w:p>
          <w:p>
            <w:pPr>
              <w:pStyle w:val="2"/>
              <w:rPr>
                <w:rFonts w:hint="default" w:asciiTheme="minorEastAsia" w:hAnsiTheme="minorEastAsia" w:eastAsiaTheme="minorEastAsia" w:cstheme="minorEastAsia"/>
                <w:highlight w:val="red"/>
                <w:lang w:val="en-US" w:eastAsia="zh-CN"/>
              </w:rPr>
            </w:pPr>
            <w:r>
              <w:rPr>
                <w:rFonts w:hint="eastAsia" w:ascii="Times New Roman" w:hAnsi="Times New Roman" w:eastAsia="宋体" w:cs="Times New Roman"/>
                <w:szCs w:val="22"/>
                <w:lang w:val="en-US" w:eastAsia="zh-CN"/>
              </w:rPr>
              <w:t>目标分解考核表”显示对目标完成情况进行了考核，2021年11-202年2月均完成。——基本符合。</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环境因素/危险源的识别与评价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rPr>
              <w:t>措施的策划</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O</w:t>
            </w:r>
            <w:r>
              <w:rPr>
                <w:rFonts w:hint="eastAsia" w:ascii="宋体" w:hAnsi="宋体" w:eastAsia="宋体" w:cs="Arial"/>
                <w:color w:val="auto"/>
                <w:spacing w:val="-6"/>
                <w:sz w:val="21"/>
                <w:szCs w:val="21"/>
                <w:lang w:val="en-US" w:eastAsia="zh-CN"/>
              </w:rPr>
              <w:t>:6.1.2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 xml:space="preserve"> </w:t>
            </w:r>
          </w:p>
        </w:tc>
        <w:tc>
          <w:tcPr>
            <w:tcW w:w="10004" w:type="dxa"/>
          </w:tcPr>
          <w:p>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公司</w:t>
            </w:r>
            <w:r>
              <w:rPr>
                <w:rFonts w:hint="eastAsia" w:cs="Times New Roman" w:eastAsiaTheme="minorEastAsia"/>
                <w:bCs/>
                <w:color w:val="auto"/>
                <w:spacing w:val="10"/>
                <w:kern w:val="2"/>
                <w:sz w:val="21"/>
                <w:szCs w:val="21"/>
                <w:lang w:val="en-US" w:eastAsia="zh-CN" w:bidi="ar-SA"/>
              </w:rPr>
              <w:t>《危险源辨识与风险评价控制程序》</w:t>
            </w:r>
            <w:r>
              <w:rPr>
                <w:rFonts w:hint="eastAsia" w:ascii="Times New Roman" w:hAnsi="Times New Roman" w:cs="Times New Roman" w:eastAsiaTheme="minorEastAsia"/>
                <w:bCs/>
                <w:color w:val="auto"/>
                <w:spacing w:val="10"/>
                <w:kern w:val="2"/>
                <w:sz w:val="21"/>
                <w:szCs w:val="21"/>
                <w:lang w:val="en-US" w:eastAsia="zh-CN" w:bidi="ar-SA"/>
              </w:rPr>
              <w:t>有效文件，无变化。</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60" w:firstLineChars="200"/>
              <w:textAlignment w:val="baseline"/>
              <w:rPr>
                <w:rFonts w:hint="eastAsia" w:ascii="Times New Roman" w:hAnsi="Times New Roman" w:cs="Times New Roman" w:eastAsiaTheme="minorEastAsia"/>
                <w:bCs/>
                <w:color w:val="auto"/>
                <w:spacing w:val="10"/>
                <w:kern w:val="2"/>
                <w:sz w:val="21"/>
                <w:szCs w:val="21"/>
                <w:lang w:val="en-US" w:eastAsia="zh-CN" w:bidi="ar-SA"/>
              </w:rPr>
            </w:pPr>
            <w:r>
              <w:rPr>
                <w:rFonts w:hint="eastAsia" w:ascii="Times New Roman" w:hAnsi="Times New Roman" w:cs="Times New Roman" w:eastAsiaTheme="minorEastAsia"/>
                <w:bCs/>
                <w:color w:val="auto"/>
                <w:spacing w:val="10"/>
                <w:kern w:val="2"/>
                <w:sz w:val="21"/>
                <w:szCs w:val="21"/>
                <w:lang w:val="en-US" w:eastAsia="zh-CN" w:bidi="ar-SA"/>
              </w:rPr>
              <w:t>查</w:t>
            </w:r>
            <w:r>
              <w:rPr>
                <w:rFonts w:hint="eastAsia" w:cs="Times New Roman" w:eastAsiaTheme="minorEastAsia"/>
                <w:bCs/>
                <w:color w:val="auto"/>
                <w:spacing w:val="10"/>
                <w:kern w:val="2"/>
                <w:sz w:val="21"/>
                <w:szCs w:val="21"/>
                <w:lang w:val="en-US" w:eastAsia="zh-CN" w:bidi="ar-SA"/>
              </w:rPr>
              <w:t>办公区2021.10.10</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危险源辨识风险评价一览表</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用LEC法</w:t>
            </w:r>
            <w:r>
              <w:rPr>
                <w:rFonts w:hint="eastAsia" w:ascii="Times New Roman" w:hAnsi="Times New Roman" w:cs="Times New Roman" w:eastAsiaTheme="minorEastAsia"/>
                <w:bCs/>
                <w:color w:val="auto"/>
                <w:spacing w:val="10"/>
                <w:kern w:val="2"/>
                <w:sz w:val="21"/>
                <w:szCs w:val="21"/>
                <w:lang w:val="en-US" w:eastAsia="zh-CN" w:bidi="ar-SA"/>
              </w:rPr>
              <w:t>识别出办公区域的</w:t>
            </w:r>
            <w:r>
              <w:rPr>
                <w:rFonts w:hint="eastAsia" w:cs="Times New Roman" w:eastAsiaTheme="minorEastAsia"/>
                <w:bCs/>
                <w:color w:val="auto"/>
                <w:spacing w:val="10"/>
                <w:kern w:val="2"/>
                <w:sz w:val="21"/>
                <w:szCs w:val="21"/>
                <w:lang w:val="en-US" w:eastAsia="zh-CN" w:bidi="ar-SA"/>
              </w:rPr>
              <w:t>危险因素14</w:t>
            </w:r>
            <w:r>
              <w:rPr>
                <w:rFonts w:hint="eastAsia" w:ascii="Times New Roman" w:hAnsi="Times New Roman" w:cs="Times New Roman" w:eastAsiaTheme="minorEastAsia"/>
                <w:bCs/>
                <w:color w:val="auto"/>
                <w:spacing w:val="10"/>
                <w:kern w:val="2"/>
                <w:sz w:val="21"/>
                <w:szCs w:val="21"/>
                <w:lang w:val="en-US" w:eastAsia="zh-CN" w:bidi="ar-SA"/>
              </w:rPr>
              <w:t>项， 对</w:t>
            </w:r>
            <w:r>
              <w:rPr>
                <w:rFonts w:hint="eastAsia" w:ascii="宋体"/>
                <w:szCs w:val="21"/>
              </w:rPr>
              <w:t>各类电气插座、插头老化引发火灾</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ascii="宋体"/>
                <w:szCs w:val="21"/>
              </w:rPr>
              <w:t>楼梯有水跌倒</w:t>
            </w:r>
            <w:r>
              <w:rPr>
                <w:rFonts w:hint="eastAsia" w:ascii="宋体"/>
                <w:szCs w:val="21"/>
                <w:lang w:eastAsia="zh-CN"/>
              </w:rPr>
              <w:t>、</w:t>
            </w:r>
            <w:r>
              <w:rPr>
                <w:rFonts w:hint="eastAsia" w:ascii="宋体"/>
                <w:szCs w:val="21"/>
              </w:rPr>
              <w:t>办公大楼消防标志不规范</w:t>
            </w:r>
            <w:r>
              <w:rPr>
                <w:rFonts w:hint="eastAsia" w:ascii="宋体"/>
                <w:szCs w:val="21"/>
                <w:lang w:val="en-US" w:eastAsia="zh-CN"/>
              </w:rPr>
              <w:t>及员工上下班交通伤害</w:t>
            </w:r>
            <w:r>
              <w:rPr>
                <w:rFonts w:hint="eastAsia" w:ascii="Times New Roman" w:hAnsi="Times New Roman" w:cs="Times New Roman" w:eastAsiaTheme="minorEastAsia"/>
                <w:bCs/>
                <w:color w:val="auto"/>
                <w:spacing w:val="10"/>
                <w:kern w:val="2"/>
                <w:sz w:val="21"/>
                <w:szCs w:val="21"/>
                <w:lang w:val="en-US" w:eastAsia="zh-CN" w:bidi="ar-SA"/>
              </w:rPr>
              <w:t>等进行了辨识和评价；考虑了生命周期观点。</w:t>
            </w:r>
          </w:p>
          <w:p>
            <w:pPr>
              <w:pStyle w:val="7"/>
              <w:rPr>
                <w:rFonts w:hint="eastAsia"/>
                <w:lang w:val="en-US" w:eastAsia="zh-CN"/>
              </w:rPr>
            </w:pPr>
            <w:r>
              <w:rPr>
                <w:rFonts w:hint="eastAsia" w:ascii="Times New Roman" w:hAnsi="Times New Roman" w:cs="Times New Roman" w:eastAsiaTheme="minorEastAsia"/>
                <w:bCs/>
                <w:color w:val="auto"/>
                <w:spacing w:val="10"/>
                <w:kern w:val="2"/>
                <w:sz w:val="21"/>
                <w:szCs w:val="21"/>
                <w:lang w:val="en-US" w:eastAsia="zh-CN" w:bidi="ar-SA"/>
              </w:rPr>
              <w:t>采取打分法评价，</w:t>
            </w:r>
            <w:r>
              <w:rPr>
                <w:rFonts w:hint="eastAsia" w:cs="Times New Roman" w:eastAsiaTheme="minorEastAsia"/>
                <w:bCs/>
                <w:color w:val="auto"/>
                <w:spacing w:val="10"/>
                <w:kern w:val="2"/>
                <w:sz w:val="21"/>
                <w:szCs w:val="21"/>
                <w:lang w:val="en-US" w:eastAsia="zh-CN" w:bidi="ar-SA"/>
              </w:rPr>
              <w:t>办公室区潜在火灾及触电为重大危险源</w:t>
            </w:r>
            <w:r>
              <w:rPr>
                <w:rFonts w:hint="eastAsia" w:ascii="Times New Roman" w:hAnsi="Times New Roman" w:cs="Times New Roman" w:eastAsiaTheme="minorEastAsia"/>
                <w:bCs/>
                <w:color w:val="auto"/>
                <w:spacing w:val="10"/>
                <w:kern w:val="2"/>
                <w:sz w:val="21"/>
                <w:szCs w:val="21"/>
                <w:lang w:val="en-US" w:eastAsia="zh-CN" w:bidi="ar-SA"/>
              </w:rPr>
              <w:t>。</w:t>
            </w:r>
            <w:r>
              <w:rPr>
                <w:rFonts w:hint="eastAsia" w:cs="Times New Roman" w:eastAsiaTheme="minorEastAsia"/>
                <w:bCs/>
                <w:color w:val="auto"/>
                <w:spacing w:val="10"/>
                <w:kern w:val="2"/>
                <w:sz w:val="21"/>
                <w:szCs w:val="21"/>
                <w:lang w:val="en-US" w:eastAsia="zh-CN" w:bidi="ar-SA"/>
              </w:rPr>
              <w:t>控制措施为管理方案。查见2021.10.20</w:t>
            </w:r>
            <w:r>
              <w:rPr>
                <w:rFonts w:hint="eastAsia" w:ascii="Times New Roman" w:hAnsi="Times New Roman" w:cs="Times New Roman" w:eastAsiaTheme="minorEastAsia"/>
                <w:bCs/>
                <w:color w:val="auto"/>
                <w:spacing w:val="10"/>
                <w:kern w:val="2"/>
                <w:sz w:val="21"/>
                <w:szCs w:val="21"/>
                <w:lang w:val="en-US" w:eastAsia="zh-CN" w:bidi="ar-SA"/>
              </w:rPr>
              <w:t xml:space="preserve"> 环境/职业健康安全目标管理方案检查表，对措施的完成情况进行了检查，均已完成。</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运行策划和控制</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O</w:t>
            </w:r>
            <w:r>
              <w:rPr>
                <w:rFonts w:hint="eastAsia" w:ascii="宋体" w:hAnsi="宋体" w:eastAsia="宋体" w:cs="Arial"/>
                <w:color w:val="auto"/>
                <w:spacing w:val="-6"/>
                <w:sz w:val="21"/>
                <w:szCs w:val="21"/>
                <w:lang w:val="en-US" w:eastAsia="zh-CN"/>
              </w:rPr>
              <w:t>:</w:t>
            </w:r>
            <w:r>
              <w:rPr>
                <w:rFonts w:hint="eastAsia" w:ascii="宋体" w:hAnsi="宋体" w:cs="Arial"/>
                <w:color w:val="auto"/>
                <w:spacing w:val="-6"/>
                <w:sz w:val="21"/>
                <w:szCs w:val="21"/>
              </w:rPr>
              <w:t>8.1</w:t>
            </w:r>
          </w:p>
        </w:tc>
        <w:tc>
          <w:tcPr>
            <w:tcW w:w="10004" w:type="dxa"/>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w:t>
            </w:r>
            <w:r>
              <w:rPr>
                <w:rFonts w:hint="eastAsia" w:cs="Times New Roman"/>
                <w:color w:val="auto"/>
                <w:szCs w:val="22"/>
                <w:highlight w:val="none"/>
                <w:lang w:val="en-US" w:eastAsia="zh-CN"/>
              </w:rPr>
              <w:t>生产提供</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环境因素的识别与评价控制程序</w:t>
            </w:r>
            <w:r>
              <w:rPr>
                <w:rFonts w:hint="default" w:ascii="Times New Roman" w:hAnsi="Times New Roman" w:cs="Times New Roman"/>
                <w:color w:val="auto"/>
                <w:szCs w:val="22"/>
                <w:highlight w:val="none"/>
                <w:lang w:val="en-US" w:eastAsia="zh-CN"/>
              </w:rPr>
              <w:t>、</w:t>
            </w:r>
            <w:r>
              <w:rPr>
                <w:rFonts w:hint="eastAsia" w:cs="Times New Roman"/>
                <w:color w:val="auto"/>
                <w:szCs w:val="22"/>
                <w:highlight w:val="none"/>
                <w:lang w:val="en-US" w:eastAsia="zh-CN"/>
              </w:rPr>
              <w:t>采购</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售后服务提供</w:t>
            </w:r>
            <w:r>
              <w:rPr>
                <w:rFonts w:hint="default" w:ascii="Times New Roman" w:hAnsi="Times New Roman" w:cs="Times New Roman"/>
                <w:color w:val="auto"/>
                <w:szCs w:val="22"/>
                <w:highlight w:val="none"/>
                <w:lang w:val="en-US" w:eastAsia="zh-CN"/>
              </w:rPr>
              <w:t>控制程序、</w:t>
            </w:r>
            <w:r>
              <w:rPr>
                <w:rFonts w:hint="eastAsia" w:cs="Times New Roman"/>
                <w:color w:val="auto"/>
                <w:szCs w:val="22"/>
                <w:highlight w:val="none"/>
                <w:lang w:val="en-US" w:eastAsia="zh-CN"/>
              </w:rPr>
              <w:t>岗位任职要求</w:t>
            </w:r>
            <w:r>
              <w:rPr>
                <w:rFonts w:hint="default" w:ascii="Times New Roman" w:hAnsi="Times New Roman" w:cs="Times New Roman"/>
                <w:color w:val="auto"/>
                <w:szCs w:val="22"/>
                <w:highlight w:val="none"/>
                <w:lang w:val="en-US" w:eastAsia="zh-CN"/>
              </w:rPr>
              <w:t>、应急准备和响应控制程序</w:t>
            </w:r>
            <w:r>
              <w:rPr>
                <w:rFonts w:hint="eastAsia" w:cs="Times New Roman"/>
                <w:color w:val="auto"/>
                <w:szCs w:val="22"/>
                <w:highlight w:val="none"/>
                <w:lang w:val="en-US" w:eastAsia="zh-CN"/>
              </w:rPr>
              <w:t>、</w:t>
            </w:r>
            <w:r>
              <w:rPr>
                <w:rFonts w:hint="eastAsia" w:ascii="宋体" w:hAnsi="宋体"/>
                <w:strike w:val="0"/>
                <w:dstrike w:val="0"/>
                <w:color w:val="auto"/>
                <w:szCs w:val="21"/>
                <w:highlight w:val="none"/>
                <w:lang w:val="en-US" w:eastAsia="zh-CN"/>
              </w:rPr>
              <w:t>现场</w:t>
            </w:r>
            <w:r>
              <w:rPr>
                <w:rFonts w:hint="eastAsia" w:ascii="宋体" w:hAnsi="宋体"/>
                <w:strike w:val="0"/>
                <w:dstrike w:val="0"/>
                <w:color w:val="auto"/>
                <w:szCs w:val="21"/>
                <w:highlight w:val="none"/>
              </w:rPr>
              <w:t>安全</w:t>
            </w:r>
            <w:r>
              <w:rPr>
                <w:rFonts w:hint="eastAsia" w:ascii="宋体" w:hAnsi="宋体"/>
                <w:strike w:val="0"/>
                <w:dstrike w:val="0"/>
                <w:color w:val="auto"/>
                <w:szCs w:val="21"/>
                <w:highlight w:val="none"/>
                <w:lang w:val="en-US" w:eastAsia="zh-CN"/>
              </w:rPr>
              <w:t>管理制度</w:t>
            </w:r>
            <w:r>
              <w:rPr>
                <w:rFonts w:hint="eastAsia" w:ascii="宋体" w:hAnsi="宋体"/>
                <w:strike w:val="0"/>
                <w:dstrike w:val="0"/>
                <w:color w:val="auto"/>
                <w:szCs w:val="21"/>
                <w:highlight w:val="none"/>
                <w:lang w:eastAsia="zh-CN"/>
              </w:rPr>
              <w:t>、</w:t>
            </w:r>
            <w:r>
              <w:rPr>
                <w:rFonts w:hint="eastAsia" w:ascii="宋体" w:hAnsi="宋体"/>
                <w:color w:val="auto"/>
                <w:szCs w:val="21"/>
                <w:highlight w:val="none"/>
                <w:lang w:val="en-US" w:eastAsia="zh-CN"/>
              </w:rPr>
              <w:t>环境保护目标责任制</w:t>
            </w:r>
            <w:r>
              <w:rPr>
                <w:rFonts w:hint="default" w:ascii="Times New Roman" w:hAnsi="Times New Roman" w:cs="Times New Roman"/>
                <w:color w:val="auto"/>
                <w:szCs w:val="22"/>
                <w:highlight w:val="none"/>
                <w:lang w:val="en-US" w:eastAsia="zh-CN"/>
              </w:rPr>
              <w:t>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spacing w:val="-6"/>
                <w:sz w:val="21"/>
                <w:szCs w:val="21"/>
                <w:highlight w:val="none"/>
                <w:lang w:val="en-US" w:eastAsia="zh-CN"/>
              </w:rPr>
              <w:t>办公工作场所布局合理，座椅和办公桌符合人体工程学要求，工间能适当走动、休息；</w:t>
            </w:r>
            <w:r>
              <w:rPr>
                <w:rFonts w:hint="eastAsia" w:ascii="宋体" w:hAnsi="宋体" w:cs="Arial"/>
                <w:spacing w:val="-6"/>
                <w:sz w:val="21"/>
                <w:szCs w:val="21"/>
                <w:highlight w:val="none"/>
                <w:lang w:val="en-US" w:eastAsia="zh-CN"/>
              </w:rPr>
              <w:t xml:space="preserve">  </w:t>
            </w:r>
            <w:r>
              <w:rPr>
                <w:rFonts w:hint="eastAsia" w:ascii="宋体" w:hAnsi="宋体" w:eastAsia="宋体" w:cs="Arial"/>
                <w:spacing w:val="-6"/>
                <w:sz w:val="21"/>
                <w:szCs w:val="21"/>
                <w:highlight w:val="none"/>
                <w:lang w:val="en-US" w:eastAsia="zh-CN"/>
              </w:rPr>
              <w:t>办</w:t>
            </w:r>
            <w:r>
              <w:rPr>
                <w:rFonts w:hint="eastAsia" w:ascii="宋体" w:hAnsi="宋体" w:eastAsia="宋体" w:cs="Arial"/>
                <w:color w:val="auto"/>
                <w:spacing w:val="-6"/>
                <w:kern w:val="2"/>
                <w:sz w:val="21"/>
                <w:szCs w:val="21"/>
                <w:highlight w:val="none"/>
                <w:lang w:val="en-US" w:eastAsia="zh-CN" w:bidi="ar-SA"/>
              </w:rPr>
              <w:t>公环境光照、温度适宜，通风良好，基本满足办公需求；</w:t>
            </w:r>
            <w:r>
              <w:rPr>
                <w:rFonts w:hint="default" w:ascii="宋体" w:hAnsi="宋体" w:eastAsia="宋体" w:cs="Arial"/>
                <w:color w:val="auto"/>
                <w:spacing w:val="-6"/>
                <w:kern w:val="2"/>
                <w:sz w:val="21"/>
                <w:szCs w:val="21"/>
                <w:highlight w:val="none"/>
                <w:lang w:val="en-US" w:eastAsia="zh-CN" w:bidi="ar-SA"/>
              </w:rPr>
              <w:t>电路、电源正常，未见用电不当等安全隐患及不良影响现象。</w:t>
            </w:r>
          </w:p>
          <w:p>
            <w:pPr>
              <w:keepNext w:val="0"/>
              <w:keepLines w:val="0"/>
              <w:pageBreakBefore w:val="0"/>
              <w:widowControl w:val="0"/>
              <w:kinsoku/>
              <w:wordWrap/>
              <w:overflowPunct/>
              <w:topLinePunct w:val="0"/>
              <w:autoSpaceDE/>
              <w:autoSpaceDN/>
              <w:bidi w:val="0"/>
              <w:adjustRightInd/>
              <w:snapToGrid/>
              <w:spacing w:after="0" w:line="360" w:lineRule="auto"/>
              <w:ind w:firstLine="396" w:firstLineChars="200"/>
              <w:textAlignment w:val="auto"/>
              <w:rPr>
                <w:rFonts w:hint="eastAsia" w:ascii="宋体" w:hAnsi="宋体" w:eastAsia="宋体" w:cs="Arial"/>
                <w:color w:val="auto"/>
                <w:spacing w:val="-6"/>
                <w:kern w:val="2"/>
                <w:sz w:val="21"/>
                <w:szCs w:val="21"/>
                <w:highlight w:val="none"/>
                <w:lang w:val="en-US" w:eastAsia="zh-CN" w:bidi="ar-SA"/>
              </w:rPr>
            </w:pPr>
            <w:r>
              <w:rPr>
                <w:rFonts w:hint="default" w:ascii="宋体" w:hAnsi="宋体" w:eastAsia="宋体" w:cs="Arial"/>
                <w:color w:val="auto"/>
                <w:spacing w:val="-6"/>
                <w:kern w:val="2"/>
                <w:sz w:val="21"/>
                <w:szCs w:val="21"/>
                <w:highlight w:val="none"/>
                <w:lang w:val="en-US" w:eastAsia="zh-CN" w:bidi="ar-SA"/>
              </w:rPr>
              <w:t>查见配置有灭火器，状态良好</w:t>
            </w:r>
            <w:r>
              <w:rPr>
                <w:rFonts w:hint="eastAsia" w:ascii="宋体" w:hAnsi="宋体" w:cs="Arial"/>
                <w:color w:val="auto"/>
                <w:spacing w:val="-6"/>
                <w:kern w:val="2"/>
                <w:sz w:val="21"/>
                <w:szCs w:val="21"/>
                <w:highlight w:val="none"/>
                <w:lang w:val="en-US" w:eastAsia="zh-CN" w:bidi="ar-SA"/>
              </w:rPr>
              <w:t>，在有效期内</w:t>
            </w:r>
            <w:r>
              <w:rPr>
                <w:rFonts w:hint="eastAsia" w:ascii="宋体" w:hAnsi="宋体" w:eastAsia="宋体" w:cs="Arial"/>
                <w:color w:val="auto"/>
                <w:spacing w:val="-6"/>
                <w:kern w:val="2"/>
                <w:sz w:val="21"/>
                <w:szCs w:val="21"/>
                <w:highlight w:val="none"/>
                <w:lang w:val="en-US" w:eastAsia="zh-CN" w:bidi="ar-SA"/>
              </w:rPr>
              <w:t>。</w:t>
            </w:r>
          </w:p>
          <w:p>
            <w:pPr>
              <w:pStyle w:val="2"/>
              <w:rPr>
                <w:rFonts w:hint="eastAsia"/>
                <w:lang w:val="en-US" w:eastAsia="zh-CN"/>
              </w:rPr>
            </w:pPr>
            <w:r>
              <w:rPr>
                <w:rFonts w:hint="eastAsia"/>
                <w:lang w:val="en-US" w:eastAsia="zh-CN"/>
              </w:rPr>
              <w:drawing>
                <wp:inline distT="0" distB="0" distL="114300" distR="114300">
                  <wp:extent cx="1019810" cy="764540"/>
                  <wp:effectExtent l="0" t="0" r="1270" b="12700"/>
                  <wp:docPr id="18" name="图片 18" descr="ab0abae0fc2f3f718ad95946b194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b0abae0fc2f3f718ad95946b1942bc"/>
                          <pic:cNvPicPr>
                            <a:picLocks noChangeAspect="1"/>
                          </pic:cNvPicPr>
                        </pic:nvPicPr>
                        <pic:blipFill>
                          <a:blip r:embed="rId7"/>
                          <a:stretch>
                            <a:fillRect/>
                          </a:stretch>
                        </pic:blipFill>
                        <pic:spPr>
                          <a:xfrm>
                            <a:off x="0" y="0"/>
                            <a:ext cx="1019810" cy="764540"/>
                          </a:xfrm>
                          <a:prstGeom prst="rect">
                            <a:avLst/>
                          </a:prstGeom>
                        </pic:spPr>
                      </pic:pic>
                    </a:graphicData>
                  </a:graphic>
                </wp:inline>
              </w:drawing>
            </w:r>
          </w:p>
          <w:p>
            <w:pPr>
              <w:pStyle w:val="3"/>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查见“劳保用品领用台账”，见发放了</w:t>
            </w:r>
            <w:r>
              <w:rPr>
                <w:rFonts w:hint="eastAsia" w:ascii="宋体" w:hAnsi="宋体" w:cs="Arial"/>
                <w:color w:val="auto"/>
                <w:spacing w:val="-6"/>
                <w:kern w:val="2"/>
                <w:sz w:val="21"/>
                <w:szCs w:val="21"/>
                <w:highlight w:val="none"/>
                <w:lang w:val="en-US" w:eastAsia="zh-CN" w:bidi="ar-SA"/>
              </w:rPr>
              <w:t>帽子</w:t>
            </w:r>
            <w:r>
              <w:rPr>
                <w:rFonts w:hint="eastAsia" w:ascii="宋体" w:hAnsi="宋体" w:eastAsia="宋体" w:cs="Arial"/>
                <w:color w:val="auto"/>
                <w:spacing w:val="-6"/>
                <w:kern w:val="2"/>
                <w:sz w:val="21"/>
                <w:szCs w:val="21"/>
                <w:highlight w:val="none"/>
                <w:lang w:val="en-US" w:eastAsia="zh-CN" w:bidi="ar-SA"/>
              </w:rPr>
              <w:t>、手套、</w:t>
            </w:r>
            <w:r>
              <w:rPr>
                <w:rFonts w:hint="eastAsia" w:ascii="宋体" w:hAnsi="宋体" w:cs="Arial"/>
                <w:color w:val="auto"/>
                <w:spacing w:val="-6"/>
                <w:kern w:val="2"/>
                <w:sz w:val="21"/>
                <w:szCs w:val="21"/>
                <w:highlight w:val="none"/>
                <w:lang w:val="en-US" w:eastAsia="zh-CN" w:bidi="ar-SA"/>
              </w:rPr>
              <w:t>耳塞</w:t>
            </w:r>
            <w:r>
              <w:rPr>
                <w:rFonts w:hint="eastAsia" w:ascii="宋体" w:hAnsi="宋体" w:eastAsia="宋体" w:cs="Arial"/>
                <w:color w:val="auto"/>
                <w:spacing w:val="-6"/>
                <w:kern w:val="2"/>
                <w:sz w:val="21"/>
                <w:szCs w:val="21"/>
                <w:highlight w:val="none"/>
                <w:lang w:val="en-US" w:eastAsia="zh-CN" w:bidi="ar-SA"/>
              </w:rPr>
              <w:t>、口罩</w:t>
            </w:r>
            <w:r>
              <w:rPr>
                <w:rFonts w:hint="eastAsia" w:ascii="宋体" w:hAnsi="宋体" w:cs="Arial"/>
                <w:color w:val="auto"/>
                <w:spacing w:val="-6"/>
                <w:kern w:val="2"/>
                <w:sz w:val="21"/>
                <w:szCs w:val="21"/>
                <w:highlight w:val="none"/>
                <w:lang w:val="en-US" w:eastAsia="zh-CN" w:bidi="ar-SA"/>
              </w:rPr>
              <w:t>、围裙</w:t>
            </w:r>
            <w:r>
              <w:rPr>
                <w:rFonts w:hint="eastAsia" w:ascii="宋体" w:hAnsi="宋体" w:eastAsia="宋体" w:cs="Arial"/>
                <w:color w:val="auto"/>
                <w:spacing w:val="-6"/>
                <w:kern w:val="2"/>
                <w:sz w:val="21"/>
                <w:szCs w:val="21"/>
                <w:highlight w:val="none"/>
                <w:lang w:val="en-US" w:eastAsia="zh-CN" w:bidi="ar-SA"/>
              </w:rPr>
              <w:t>发放记录记录，有领用数量、领用人签字、</w:t>
            </w:r>
            <w:r>
              <w:rPr>
                <w:rFonts w:hint="eastAsia" w:ascii="宋体" w:hAnsi="宋体" w:cs="Arial"/>
                <w:color w:val="auto"/>
                <w:spacing w:val="-6"/>
                <w:kern w:val="2"/>
                <w:sz w:val="21"/>
                <w:szCs w:val="21"/>
                <w:highlight w:val="none"/>
                <w:lang w:val="en-US" w:eastAsia="zh-CN" w:bidi="ar-SA"/>
              </w:rPr>
              <w:t>使用期限</w:t>
            </w:r>
            <w:r>
              <w:rPr>
                <w:rFonts w:hint="eastAsia" w:ascii="宋体" w:hAnsi="宋体" w:eastAsia="宋体" w:cs="Arial"/>
                <w:color w:val="auto"/>
                <w:spacing w:val="-6"/>
                <w:kern w:val="2"/>
                <w:sz w:val="21"/>
                <w:szCs w:val="21"/>
                <w:highlight w:val="none"/>
                <w:lang w:val="en-US" w:eastAsia="zh-CN" w:bidi="ar-SA"/>
              </w:rPr>
              <w:t>等。</w:t>
            </w:r>
          </w:p>
          <w:p>
            <w:pPr>
              <w:pStyle w:val="7"/>
              <w:rPr>
                <w:rFonts w:hint="eastAsia"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drawing>
                <wp:inline distT="0" distB="0" distL="114300" distR="114300">
                  <wp:extent cx="1555115" cy="1165860"/>
                  <wp:effectExtent l="0" t="0" r="7620" b="14605"/>
                  <wp:docPr id="4" name="图片 4" descr="d4e664545e1e93b9b38ee442ebc4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4e664545e1e93b9b38ee442ebc4d7d"/>
                          <pic:cNvPicPr>
                            <a:picLocks noChangeAspect="1"/>
                          </pic:cNvPicPr>
                        </pic:nvPicPr>
                        <pic:blipFill>
                          <a:blip r:embed="rId8"/>
                          <a:stretch>
                            <a:fillRect/>
                          </a:stretch>
                        </pic:blipFill>
                        <pic:spPr>
                          <a:xfrm rot="16200000">
                            <a:off x="0" y="0"/>
                            <a:ext cx="1555115" cy="1165860"/>
                          </a:xfrm>
                          <a:prstGeom prst="rect">
                            <a:avLst/>
                          </a:prstGeom>
                        </pic:spPr>
                      </pic:pic>
                    </a:graphicData>
                  </a:graphic>
                </wp:inline>
              </w:drawing>
            </w:r>
          </w:p>
          <w:p>
            <w:pPr>
              <w:pStyle w:val="3"/>
              <w:rPr>
                <w:rFonts w:hint="default" w:ascii="宋体" w:hAnsi="宋体" w:eastAsia="宋体" w:cs="Arial"/>
                <w:color w:val="auto"/>
                <w:spacing w:val="-6"/>
                <w:kern w:val="2"/>
                <w:sz w:val="21"/>
                <w:szCs w:val="21"/>
                <w:highlight w:val="none"/>
                <w:lang w:val="en-US" w:eastAsia="zh-CN" w:bidi="ar-SA"/>
              </w:rPr>
            </w:pPr>
            <w:r>
              <w:rPr>
                <w:rFonts w:hint="eastAsia" w:ascii="宋体" w:hAnsi="宋体" w:eastAsia="宋体" w:cs="Arial"/>
                <w:color w:val="auto"/>
                <w:spacing w:val="-6"/>
                <w:kern w:val="2"/>
                <w:sz w:val="21"/>
                <w:szCs w:val="21"/>
                <w:highlight w:val="none"/>
                <w:lang w:val="en-US" w:eastAsia="zh-CN" w:bidi="ar-SA"/>
              </w:rPr>
              <w:t>查见固体废弃物复印纸、电池、废硒鼓等</w:t>
            </w:r>
            <w:r>
              <w:rPr>
                <w:rFonts w:hint="eastAsia" w:ascii="宋体" w:hAnsi="宋体" w:cs="Arial"/>
                <w:color w:val="auto"/>
                <w:spacing w:val="-6"/>
                <w:kern w:val="2"/>
                <w:sz w:val="21"/>
                <w:szCs w:val="21"/>
                <w:highlight w:val="none"/>
                <w:lang w:val="en-US" w:eastAsia="zh-CN" w:bidi="ar-SA"/>
              </w:rPr>
              <w:t>统一存放处理</w:t>
            </w:r>
            <w:r>
              <w:rPr>
                <w:rFonts w:hint="eastAsia" w:ascii="宋体" w:hAnsi="宋体" w:eastAsia="宋体" w:cs="Arial"/>
                <w:color w:val="auto"/>
                <w:spacing w:val="-6"/>
                <w:kern w:val="2"/>
                <w:sz w:val="21"/>
                <w:szCs w:val="21"/>
                <w:highlight w:val="none"/>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396" w:firstLineChars="200"/>
              <w:textAlignment w:val="auto"/>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pP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查</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与相关方的信息交流</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情况，</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2021年</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10</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月1</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2</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日</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相关方环境、职业健康安全告知书</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w:t>
            </w:r>
            <w:r>
              <w:rPr>
                <w:rFonts w:hint="eastAsia" w:ascii="宋体" w:hAnsi="宋体" w:eastAsia="宋体" w:cs="Arial"/>
                <w:color w:val="000000" w:themeColor="text1"/>
                <w:spacing w:val="-6"/>
                <w:kern w:val="2"/>
                <w:sz w:val="21"/>
                <w:szCs w:val="21"/>
                <w:highlight w:val="none"/>
                <w:lang w:val="en-US" w:eastAsia="zh-CN" w:bidi="ar-SA"/>
                <w14:textFill>
                  <w14:solidFill>
                    <w14:schemeClr w14:val="tx1"/>
                  </w14:solidFill>
                </w14:textFill>
              </w:rPr>
              <w:t>与</w:t>
            </w:r>
            <w:r>
              <w:rPr>
                <w:rFonts w:hint="eastAsia" w:ascii="宋体" w:hAnsi="宋体" w:cs="Arial"/>
                <w:color w:val="000000" w:themeColor="text1"/>
                <w:spacing w:val="-6"/>
                <w:kern w:val="2"/>
                <w:sz w:val="21"/>
                <w:szCs w:val="21"/>
                <w:highlight w:val="none"/>
                <w:lang w:val="en-US" w:eastAsia="zh-CN" w:bidi="ar-SA"/>
                <w14:textFill>
                  <w14:solidFill>
                    <w14:schemeClr w14:val="tx1"/>
                  </w14:solidFill>
                </w14:textFill>
              </w:rPr>
              <w:t>相关方</w:t>
            </w:r>
            <w:r>
              <w:rPr>
                <w:rFonts w:hint="default" w:ascii="宋体" w:hAnsi="宋体" w:eastAsia="宋体" w:cs="Arial"/>
                <w:color w:val="000000" w:themeColor="text1"/>
                <w:spacing w:val="-6"/>
                <w:kern w:val="2"/>
                <w:sz w:val="21"/>
                <w:szCs w:val="21"/>
                <w:highlight w:val="none"/>
                <w:lang w:val="en-US" w:eastAsia="zh-CN" w:bidi="ar-SA"/>
                <w14:textFill>
                  <w14:solidFill>
                    <w14:schemeClr w14:val="tx1"/>
                  </w14:solidFill>
                </w14:textFill>
              </w:rPr>
              <w:t>进行了环境和职业健康安全有关事项的沟通。</w:t>
            </w:r>
          </w:p>
          <w:p>
            <w:pPr>
              <w:pStyle w:val="7"/>
              <w:rPr>
                <w:rFonts w:hint="default" w:ascii="Times New Roman" w:hAnsi="Times New Roman" w:eastAsia="宋体" w:cs="Times New Roman"/>
                <w:szCs w:val="22"/>
                <w:lang w:val="en-US" w:eastAsia="zh-CN"/>
              </w:rPr>
            </w:pPr>
            <w:r>
              <w:rPr>
                <w:rFonts w:hint="eastAsia" w:ascii="宋体" w:hAnsi="宋体" w:eastAsia="宋体" w:cs="Arial"/>
                <w:color w:val="auto"/>
                <w:spacing w:val="-6"/>
                <w:kern w:val="2"/>
                <w:sz w:val="21"/>
                <w:szCs w:val="21"/>
                <w:highlight w:val="none"/>
                <w:lang w:val="en-US" w:eastAsia="zh-CN" w:bidi="ar-SA"/>
              </w:rPr>
              <w:t>与</w:t>
            </w:r>
            <w:r>
              <w:rPr>
                <w:rFonts w:hint="eastAsia" w:ascii="宋体" w:hAnsi="宋体" w:cs="Arial"/>
                <w:color w:val="auto"/>
                <w:spacing w:val="-6"/>
                <w:kern w:val="2"/>
                <w:sz w:val="21"/>
                <w:szCs w:val="21"/>
                <w:highlight w:val="none"/>
                <w:lang w:val="en-US" w:eastAsia="zh-CN" w:bidi="ar-SA"/>
              </w:rPr>
              <w:t>郑州城建集团投资有限公司、东易日盛家具装饰集团有限公司郑州分公司、郑州鑫罡汽车装饰用品有限公司、广东协和金属制品有限公司、广州利民新材料有限公司、河南巨力胶业有限公司、香河中辰铝业有限公司</w:t>
            </w:r>
            <w:r>
              <w:rPr>
                <w:rFonts w:hint="eastAsia" w:ascii="宋体" w:hAnsi="宋体" w:eastAsia="宋体" w:cs="Arial"/>
                <w:color w:val="auto"/>
                <w:spacing w:val="-6"/>
                <w:kern w:val="2"/>
                <w:sz w:val="21"/>
                <w:szCs w:val="21"/>
                <w:highlight w:val="none"/>
                <w:lang w:val="en-US" w:eastAsia="zh-CN" w:bidi="ar-SA"/>
              </w:rPr>
              <w:t xml:space="preserve">沟通了体系建立运行的情况。   </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Arial"/>
                <w:color w:val="auto"/>
                <w:spacing w:val="-6"/>
                <w:sz w:val="21"/>
                <w:szCs w:val="21"/>
              </w:rPr>
            </w:pPr>
            <w:r>
              <w:rPr>
                <w:rFonts w:hint="eastAsia" w:ascii="宋体" w:hAnsi="宋体" w:cs="Arial"/>
                <w:color w:val="auto"/>
                <w:spacing w:val="-6"/>
                <w:sz w:val="21"/>
                <w:szCs w:val="21"/>
              </w:rPr>
              <w:t>应急准备和响应</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O:</w:t>
            </w:r>
            <w:r>
              <w:rPr>
                <w:rFonts w:hint="eastAsia" w:ascii="宋体" w:hAnsi="宋体" w:cs="Arial"/>
                <w:color w:val="auto"/>
                <w:spacing w:val="-6"/>
                <w:sz w:val="21"/>
                <w:szCs w:val="21"/>
              </w:rPr>
              <w:t>8.2</w:t>
            </w:r>
          </w:p>
        </w:tc>
        <w:tc>
          <w:tcPr>
            <w:tcW w:w="10004" w:type="dxa"/>
          </w:tcPr>
          <w:p>
            <w:pPr>
              <w:spacing w:line="360" w:lineRule="auto"/>
              <w:jc w:val="left"/>
              <w:rPr>
                <w:rFonts w:hint="eastAsia" w:ascii="宋体" w:hAnsi="宋体" w:cs="Arial"/>
                <w:color w:val="auto"/>
                <w:spacing w:val="-6"/>
                <w:kern w:val="2"/>
                <w:sz w:val="21"/>
                <w:szCs w:val="21"/>
                <w:highlight w:val="none"/>
                <w:lang w:val="en-US" w:eastAsia="zh-CN" w:bidi="ar-SA"/>
              </w:rPr>
            </w:pPr>
            <w:r>
              <w:rPr>
                <w:rFonts w:hint="eastAsia" w:ascii="宋体" w:hAnsi="宋体" w:cs="Arial"/>
                <w:color w:val="auto"/>
                <w:spacing w:val="-6"/>
                <w:kern w:val="2"/>
                <w:sz w:val="21"/>
                <w:szCs w:val="21"/>
                <w:highlight w:val="none"/>
                <w:lang w:val="en-US" w:eastAsia="zh-CN" w:bidi="ar-SA"/>
              </w:rPr>
              <w:t>公司有火灾消防应急预案、触电应急预案、疫情防控应急预案。</w:t>
            </w:r>
          </w:p>
          <w:p>
            <w:pPr>
              <w:keepNext w:val="0"/>
              <w:keepLines w:val="0"/>
              <w:pageBreakBefore w:val="0"/>
              <w:widowControl w:val="0"/>
              <w:kinsoku/>
              <w:wordWrap/>
              <w:overflowPunct/>
              <w:topLinePunct w:val="0"/>
              <w:autoSpaceDE/>
              <w:autoSpaceDN/>
              <w:bidi w:val="0"/>
              <w:adjustRightInd/>
              <w:snapToGrid/>
              <w:spacing w:line="360" w:lineRule="auto"/>
              <w:ind w:firstLine="396" w:firstLineChars="200"/>
              <w:textAlignment w:val="auto"/>
              <w:rPr>
                <w:rFonts w:hint="eastAsia" w:ascii="Times New Roman" w:hAnsi="Times New Roman" w:eastAsia="宋体" w:cs="Times New Roman"/>
                <w:szCs w:val="22"/>
                <w:lang w:val="en-US" w:eastAsia="zh-CN"/>
              </w:rPr>
            </w:pPr>
            <w:r>
              <w:rPr>
                <w:rFonts w:hint="eastAsia" w:ascii="宋体" w:hAnsi="宋体" w:eastAsia="宋体" w:cs="Arial"/>
                <w:color w:val="auto"/>
                <w:spacing w:val="-6"/>
                <w:kern w:val="2"/>
                <w:sz w:val="21"/>
                <w:szCs w:val="21"/>
                <w:highlight w:val="none"/>
                <w:lang w:val="en-US" w:eastAsia="zh-CN" w:bidi="ar-SA"/>
              </w:rPr>
              <w:t>业务部参加了2021年</w:t>
            </w:r>
            <w:r>
              <w:rPr>
                <w:rFonts w:hint="eastAsia" w:ascii="宋体" w:hAnsi="宋体" w:cs="Arial"/>
                <w:color w:val="auto"/>
                <w:spacing w:val="-6"/>
                <w:kern w:val="2"/>
                <w:sz w:val="21"/>
                <w:szCs w:val="21"/>
                <w:highlight w:val="none"/>
                <w:lang w:val="en-US" w:eastAsia="zh-CN" w:bidi="ar-SA"/>
              </w:rPr>
              <w:t>12</w:t>
            </w:r>
            <w:r>
              <w:rPr>
                <w:rFonts w:hint="eastAsia" w:ascii="宋体" w:hAnsi="宋体" w:eastAsia="宋体" w:cs="Arial"/>
                <w:color w:val="auto"/>
                <w:spacing w:val="-6"/>
                <w:kern w:val="2"/>
                <w:sz w:val="21"/>
                <w:szCs w:val="21"/>
                <w:highlight w:val="none"/>
                <w:lang w:val="en-US" w:eastAsia="zh-CN" w:bidi="ar-SA"/>
              </w:rPr>
              <w:t>月1</w:t>
            </w:r>
            <w:r>
              <w:rPr>
                <w:rFonts w:hint="eastAsia" w:ascii="宋体" w:hAnsi="宋体" w:cs="Arial"/>
                <w:color w:val="auto"/>
                <w:spacing w:val="-6"/>
                <w:kern w:val="2"/>
                <w:sz w:val="21"/>
                <w:szCs w:val="21"/>
                <w:highlight w:val="none"/>
                <w:lang w:val="en-US" w:eastAsia="zh-CN" w:bidi="ar-SA"/>
              </w:rPr>
              <w:t>5</w:t>
            </w:r>
            <w:r>
              <w:rPr>
                <w:rFonts w:hint="eastAsia" w:ascii="宋体" w:hAnsi="宋体" w:eastAsia="宋体" w:cs="Arial"/>
                <w:bCs/>
                <w:color w:val="auto"/>
                <w:spacing w:val="-6"/>
                <w:kern w:val="2"/>
                <w:sz w:val="21"/>
                <w:szCs w:val="21"/>
                <w:highlight w:val="none"/>
                <w:lang w:val="en-US" w:eastAsia="zh-CN" w:bidi="ar-SA"/>
              </w:rPr>
              <w:t>日办公室组织的办公区火灾消防应急演练，有演练计划、演练记录、演练结果评价：在现场演练过程中参加演练的人员都给予了充分的重视，在演练过程中能够听从应急领导小组的指挥，按规定的演练要求进行演练，通过就急演练使应急组织成员能够实地的实习应急处理程序过程，为应急组织成员掌握应急处理程序在出现突发火灾事件时有效的组织应急响应活动减少因此造成的人员、财产损失打下良好的基础。同时现场工作人员经过演练掌握了出现突发火灾事件时应如何按应急组织程序要求进行应急处理和有效的撤离和自身防护知识。演练取得了很好的效果。通过实地现场演练证实编制的“火灾事故应急救援预案”符合单位的实际情况，具有很好的适宜性，暂不需对预案进行修订。</w:t>
            </w:r>
          </w:p>
        </w:tc>
        <w:tc>
          <w:tcPr>
            <w:tcW w:w="158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90" w:firstLineChars="550"/>
      <w:jc w:val="left"/>
      <w:rPr>
        <w:rStyle w:val="15"/>
        <w:rFonts w:hint="default"/>
      </w:rPr>
    </w:pPr>
    <w:r>
      <w:drawing>
        <wp:anchor distT="0" distB="0" distL="114300" distR="114300" simplePos="0" relativeHeight="251660288" behindDoc="0" locked="0" layoutInCell="1" allowOverlap="1">
          <wp:simplePos x="0" y="0"/>
          <wp:positionH relativeFrom="column">
            <wp:posOffset>41275</wp:posOffset>
          </wp:positionH>
          <wp:positionV relativeFrom="paragraph">
            <wp:posOffset>-27940</wp:posOffset>
          </wp:positionV>
          <wp:extent cx="481330" cy="484505"/>
          <wp:effectExtent l="0" t="0" r="6350" b="317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0"/>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7929245</wp:posOffset>
              </wp:positionH>
              <wp:positionV relativeFrom="paragraph">
                <wp:posOffset>27940</wp:posOffset>
              </wp:positionV>
              <wp:extent cx="1300480" cy="256540"/>
              <wp:effectExtent l="0" t="0" r="10160" b="2540"/>
              <wp:wrapNone/>
              <wp:docPr id="2" name="文本框 1"/>
              <wp:cNvGraphicFramePr/>
              <a:graphic xmlns:a="http://schemas.openxmlformats.org/drawingml/2006/main">
                <a:graphicData uri="http://schemas.microsoft.com/office/word/2010/wordprocessingShape">
                  <wps:wsp>
                    <wps:cNvSpPr txBox="1"/>
                    <wps:spPr>
                      <a:xfrm>
                        <a:off x="0" y="0"/>
                        <a:ext cx="1300480" cy="256540"/>
                      </a:xfrm>
                      <a:prstGeom prst="rect">
                        <a:avLst/>
                      </a:prstGeom>
                      <a:solidFill>
                        <a:srgbClr val="FFFFFF"/>
                      </a:solidFill>
                      <a:ln>
                        <a:noFill/>
                      </a:ln>
                    </wps:spPr>
                    <wps:txbx>
                      <w:txbxContent>
                        <w:p>
                          <w:pPr>
                            <w:rPr>
                              <w:sz w:val="18"/>
                              <w:szCs w:val="18"/>
                            </w:rPr>
                          </w:pPr>
                          <w:r>
                            <w:rPr>
                              <w:rFonts w:hint="eastAsia"/>
                              <w:sz w:val="18"/>
                              <w:szCs w:val="18"/>
                            </w:rPr>
                            <w:t>ISC-B-II-12(05版）</w:t>
                          </w:r>
                        </w:p>
                        <w:p/>
                      </w:txbxContent>
                    </wps:txbx>
                    <wps:bodyPr upright="1"/>
                  </wps:wsp>
                </a:graphicData>
              </a:graphic>
            </wp:anchor>
          </w:drawing>
        </mc:Choice>
        <mc:Fallback>
          <w:pict>
            <v:shape id="文本框 1" o:spid="_x0000_s1026" o:spt="202" type="#_x0000_t202" style="position:absolute;left:0pt;margin-left:624.35pt;margin-top:2.2pt;height:20.2pt;width:102.4pt;z-index:251659264;mso-width-relative:page;mso-height-relative:page;" fillcolor="#FFFFFF" filled="t" stroked="f" coordsize="21600,21600" o:gfxdata="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AsrsI3XAAAACgEAAA8A&#10;AAAAAAAAAQAgAAAAIgAAAGRycy9kb3ducmV2LnhtbFBLAQIUABQAAAAIAIdO4kCR5roXpgEAACkD&#10;AAAOAAAAAAAAAAEAIAAAACYBAABkcnMvZTJvRG9jLnhtbFBLBQYAAAAABgAGAFkBAAA+BQAAAAA=&#10;">
              <v:fill on="t" focussize="0,0"/>
              <v:stroke on="f"/>
              <v:imagedata o:title=""/>
              <o:lock v:ext="edit" aspectratio="f"/>
              <v:textbox>
                <w:txbxContent>
                  <w:p>
                    <w:pPr>
                      <w:rPr>
                        <w:sz w:val="18"/>
                        <w:szCs w:val="18"/>
                      </w:rPr>
                    </w:pPr>
                    <w:r>
                      <w:rPr>
                        <w:rFonts w:hint="eastAsia"/>
                        <w:sz w:val="18"/>
                        <w:szCs w:val="18"/>
                      </w:rPr>
                      <w:t>ISC-B-II-12(05版）</w:t>
                    </w:r>
                  </w:p>
                  <w:p/>
                </w:txbxContent>
              </v:textbox>
            </v:shape>
          </w:pict>
        </mc:Fallback>
      </mc:AlternateContent>
    </w:r>
    <w:r>
      <w:rPr>
        <w:rStyle w:val="15"/>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A5DEC"/>
    <w:rsid w:val="01BD00AD"/>
    <w:rsid w:val="02CF07A5"/>
    <w:rsid w:val="04662607"/>
    <w:rsid w:val="08ED24BC"/>
    <w:rsid w:val="0C151F13"/>
    <w:rsid w:val="0D6D78E6"/>
    <w:rsid w:val="153512FA"/>
    <w:rsid w:val="16964DEC"/>
    <w:rsid w:val="16F25E83"/>
    <w:rsid w:val="196223AE"/>
    <w:rsid w:val="1B3374AA"/>
    <w:rsid w:val="23E91912"/>
    <w:rsid w:val="24BB750B"/>
    <w:rsid w:val="24C05FA8"/>
    <w:rsid w:val="2607287F"/>
    <w:rsid w:val="266249C3"/>
    <w:rsid w:val="271E20E3"/>
    <w:rsid w:val="296B3194"/>
    <w:rsid w:val="2A3B4EC5"/>
    <w:rsid w:val="2F403519"/>
    <w:rsid w:val="31DB6013"/>
    <w:rsid w:val="32B42895"/>
    <w:rsid w:val="32D30943"/>
    <w:rsid w:val="34F46FF7"/>
    <w:rsid w:val="37BC363B"/>
    <w:rsid w:val="3A2F44F0"/>
    <w:rsid w:val="40081862"/>
    <w:rsid w:val="41D84319"/>
    <w:rsid w:val="42896F59"/>
    <w:rsid w:val="4706246F"/>
    <w:rsid w:val="47AA7CF5"/>
    <w:rsid w:val="47EB3F00"/>
    <w:rsid w:val="4A911548"/>
    <w:rsid w:val="4D970060"/>
    <w:rsid w:val="4FDA59F6"/>
    <w:rsid w:val="51475B82"/>
    <w:rsid w:val="54B73AB9"/>
    <w:rsid w:val="59165059"/>
    <w:rsid w:val="59661118"/>
    <w:rsid w:val="5B156B42"/>
    <w:rsid w:val="5C79423D"/>
    <w:rsid w:val="5EFE51E4"/>
    <w:rsid w:val="5F760DB4"/>
    <w:rsid w:val="601B1071"/>
    <w:rsid w:val="60F73305"/>
    <w:rsid w:val="61C354AC"/>
    <w:rsid w:val="64984C8B"/>
    <w:rsid w:val="665E5012"/>
    <w:rsid w:val="683D2049"/>
    <w:rsid w:val="69534AC0"/>
    <w:rsid w:val="696F7841"/>
    <w:rsid w:val="698E6DCD"/>
    <w:rsid w:val="6ED34A18"/>
    <w:rsid w:val="71462E67"/>
    <w:rsid w:val="747F47E9"/>
    <w:rsid w:val="7618603D"/>
    <w:rsid w:val="7E207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qFormat/>
    <w:uiPriority w:val="0"/>
    <w:pPr>
      <w:ind w:firstLine="420" w:firstLineChars="100"/>
    </w:pPr>
    <w:rPr>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0"/>
    <w:rPr>
      <w:color w:val="333333"/>
      <w:sz w:val="18"/>
      <w:szCs w:val="18"/>
      <w:u w:val="none"/>
    </w:rPr>
  </w:style>
  <w:style w:type="character" w:customStyle="1" w:styleId="12">
    <w:name w:val="页眉 Char"/>
    <w:basedOn w:val="10"/>
    <w:link w:val="6"/>
    <w:qFormat/>
    <w:uiPriority w:val="99"/>
    <w:rPr>
      <w:rFonts w:ascii="Times New Roman" w:hAnsi="Times New Roman" w:eastAsia="宋体" w:cs="Times New Roman"/>
      <w:sz w:val="18"/>
      <w:szCs w:val="18"/>
    </w:rPr>
  </w:style>
  <w:style w:type="character" w:customStyle="1" w:styleId="13">
    <w:name w:val="页脚 Char"/>
    <w:basedOn w:val="10"/>
    <w:link w:val="5"/>
    <w:qFormat/>
    <w:uiPriority w:val="99"/>
    <w:rPr>
      <w:rFonts w:ascii="Times New Roman" w:hAnsi="Times New Roman" w:eastAsia="宋体" w:cs="Times New Roman"/>
      <w:sz w:val="18"/>
      <w:szCs w:val="18"/>
    </w:rPr>
  </w:style>
  <w:style w:type="character" w:customStyle="1" w:styleId="14">
    <w:name w:val="批注框文本 Char"/>
    <w:basedOn w:val="10"/>
    <w:link w:val="4"/>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2</TotalTime>
  <ScaleCrop>false</ScaleCrop>
  <LinksUpToDate>false</LinksUpToDate>
  <CharactersWithSpaces>101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秋子(喻荣秋)</cp:lastModifiedBy>
  <dcterms:modified xsi:type="dcterms:W3CDTF">2022-03-06T02:01:12Z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DBBE743461FD444198E5CE969FEED69C</vt:lpwstr>
  </property>
</Properties>
</file>