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eastAsiaTheme="minorEastAsia"/>
                <w:sz w:val="24"/>
                <w:szCs w:val="24"/>
              </w:rPr>
            </w:pPr>
            <w:r>
              <w:rPr>
                <w:rFonts w:hAnsiTheme="minorEastAsia" w:eastAsiaTheme="minorEastAsia"/>
                <w:sz w:val="24"/>
                <w:szCs w:val="24"/>
              </w:rPr>
              <w:t>过程与活动、</w:t>
            </w:r>
          </w:p>
          <w:p>
            <w:pPr>
              <w:spacing w:line="360" w:lineRule="auto"/>
              <w:jc w:val="center"/>
              <w:rPr>
                <w:rFonts w:eastAsiaTheme="minorEastAsia"/>
                <w:sz w:val="24"/>
                <w:szCs w:val="24"/>
              </w:rPr>
            </w:pPr>
            <w:r>
              <w:rPr>
                <w:rFonts w:hAnsiTheme="minorEastAsia" w:eastAsiaTheme="minorEastAsia"/>
                <w:sz w:val="24"/>
                <w:szCs w:val="24"/>
              </w:rPr>
              <w:t>抽样计划</w:t>
            </w:r>
          </w:p>
        </w:tc>
        <w:tc>
          <w:tcPr>
            <w:tcW w:w="1311" w:type="dxa"/>
            <w:vMerge w:val="restart"/>
            <w:vAlign w:val="center"/>
          </w:tcPr>
          <w:p>
            <w:pPr>
              <w:spacing w:line="360" w:lineRule="auto"/>
              <w:rPr>
                <w:rFonts w:eastAsiaTheme="minorEastAsia"/>
                <w:sz w:val="24"/>
                <w:szCs w:val="24"/>
              </w:rPr>
            </w:pPr>
            <w:r>
              <w:rPr>
                <w:rFonts w:hAnsiTheme="minorEastAsia" w:eastAsiaTheme="minorEastAsia"/>
                <w:sz w:val="24"/>
                <w:szCs w:val="24"/>
              </w:rPr>
              <w:t>涉及条款</w:t>
            </w:r>
          </w:p>
        </w:tc>
        <w:tc>
          <w:tcPr>
            <w:tcW w:w="10004" w:type="dxa"/>
            <w:vAlign w:val="center"/>
          </w:tcPr>
          <w:p>
            <w:pPr>
              <w:spacing w:line="360" w:lineRule="auto"/>
              <w:rPr>
                <w:rFonts w:hint="default" w:eastAsiaTheme="minorEastAsia"/>
                <w:sz w:val="24"/>
                <w:szCs w:val="24"/>
                <w:lang w:val="en-US" w:eastAsia="zh-CN"/>
              </w:rPr>
            </w:pPr>
            <w:r>
              <w:rPr>
                <w:rFonts w:hAnsiTheme="minorEastAsia" w:eastAsiaTheme="minorEastAsia"/>
                <w:sz w:val="24"/>
                <w:szCs w:val="24"/>
              </w:rPr>
              <w:t>受审核部门：管理层</w:t>
            </w:r>
            <w:r>
              <w:rPr>
                <w:rFonts w:eastAsiaTheme="minorEastAsia"/>
                <w:sz w:val="24"/>
                <w:szCs w:val="24"/>
              </w:rPr>
              <w:t xml:space="preserve">  </w:t>
            </w:r>
            <w:r>
              <w:rPr>
                <w:rFonts w:hAnsiTheme="minorEastAsia" w:eastAsiaTheme="minorEastAsia"/>
                <w:sz w:val="24"/>
                <w:szCs w:val="24"/>
              </w:rPr>
              <w:t>主管领导：</w:t>
            </w:r>
            <w:r>
              <w:rPr>
                <w:rFonts w:hint="eastAsia" w:hAnsiTheme="minorEastAsia" w:eastAsiaTheme="minorEastAsia"/>
                <w:sz w:val="24"/>
                <w:szCs w:val="24"/>
                <w:lang w:val="en-US" w:eastAsia="zh-CN"/>
              </w:rPr>
              <w:t>高彩红、张志坤</w:t>
            </w:r>
            <w:r>
              <w:rPr>
                <w:rFonts w:hint="eastAsia" w:hAnsiTheme="minorEastAsia" w:eastAsiaTheme="minorEastAsia"/>
                <w:sz w:val="24"/>
                <w:szCs w:val="24"/>
              </w:rPr>
              <w:t xml:space="preserve">   </w:t>
            </w:r>
            <w:r>
              <w:rPr>
                <w:rFonts w:hAnsiTheme="minorEastAsia" w:eastAsiaTheme="minorEastAsia"/>
                <w:sz w:val="24"/>
                <w:szCs w:val="24"/>
              </w:rPr>
              <w:t>陪同人员：</w:t>
            </w:r>
            <w:r>
              <w:rPr>
                <w:rFonts w:hint="eastAsia" w:hAnsiTheme="minorEastAsia" w:eastAsiaTheme="minorEastAsia"/>
                <w:sz w:val="24"/>
                <w:szCs w:val="24"/>
                <w:lang w:val="en-US" w:eastAsia="zh-CN"/>
              </w:rPr>
              <w:t>高彩红</w:t>
            </w:r>
          </w:p>
        </w:tc>
        <w:tc>
          <w:tcPr>
            <w:tcW w:w="1585" w:type="dxa"/>
            <w:vMerge w:val="restart"/>
            <w:vAlign w:val="center"/>
          </w:tcPr>
          <w:p>
            <w:pPr>
              <w:spacing w:line="360" w:lineRule="auto"/>
              <w:rPr>
                <w:rFonts w:eastAsiaTheme="minorEastAsia"/>
                <w:sz w:val="24"/>
                <w:szCs w:val="24"/>
              </w:rPr>
            </w:pPr>
            <w:r>
              <w:rPr>
                <w:rFonts w:hAnsiTheme="minorEastAsia" w:eastAsia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eastAsiaTheme="minorEastAsia"/>
                <w:sz w:val="24"/>
                <w:szCs w:val="24"/>
              </w:rPr>
            </w:pPr>
          </w:p>
        </w:tc>
        <w:tc>
          <w:tcPr>
            <w:tcW w:w="1311" w:type="dxa"/>
            <w:vMerge w:val="continue"/>
            <w:vAlign w:val="center"/>
          </w:tcPr>
          <w:p>
            <w:pPr>
              <w:spacing w:line="360" w:lineRule="auto"/>
              <w:rPr>
                <w:rFonts w:eastAsiaTheme="minorEastAsia"/>
                <w:sz w:val="24"/>
                <w:szCs w:val="24"/>
              </w:rPr>
            </w:pPr>
          </w:p>
        </w:tc>
        <w:tc>
          <w:tcPr>
            <w:tcW w:w="10004" w:type="dxa"/>
            <w:vAlign w:val="center"/>
          </w:tcPr>
          <w:p>
            <w:pPr>
              <w:spacing w:before="120" w:line="360" w:lineRule="auto"/>
              <w:rPr>
                <w:rFonts w:hint="default" w:eastAsiaTheme="minorEastAsia"/>
                <w:sz w:val="24"/>
                <w:szCs w:val="24"/>
                <w:lang w:val="en-US" w:eastAsia="zh-CN"/>
              </w:rPr>
            </w:pPr>
            <w:r>
              <w:rPr>
                <w:rFonts w:hAnsiTheme="minorEastAsia" w:eastAsiaTheme="minorEastAsia"/>
                <w:sz w:val="24"/>
                <w:szCs w:val="24"/>
              </w:rPr>
              <w:t>审核员：</w:t>
            </w:r>
            <w:r>
              <w:rPr>
                <w:rFonts w:hint="eastAsia" w:hAnsiTheme="minorEastAsia" w:eastAsiaTheme="minorEastAsia"/>
                <w:sz w:val="24"/>
                <w:szCs w:val="24"/>
                <w:lang w:val="en-US" w:eastAsia="zh-CN"/>
              </w:rPr>
              <w:t>伍光华</w:t>
            </w:r>
            <w:r>
              <w:rPr>
                <w:rFonts w:hint="eastAsia" w:hAnsiTheme="minorEastAsia" w:eastAsiaTheme="minorEastAsia"/>
                <w:sz w:val="24"/>
                <w:szCs w:val="24"/>
              </w:rPr>
              <w:t xml:space="preserve">  </w:t>
            </w:r>
            <w:r>
              <w:rPr>
                <w:rFonts w:hAnsiTheme="minorEastAsia" w:eastAsiaTheme="minorEastAsia"/>
                <w:sz w:val="24"/>
                <w:szCs w:val="24"/>
              </w:rPr>
              <w:t>审核时间：</w:t>
            </w:r>
            <w:r>
              <w:rPr>
                <w:rFonts w:hint="eastAsia" w:eastAsiaTheme="minorEastAsia"/>
                <w:sz w:val="24"/>
                <w:szCs w:val="24"/>
                <w:lang w:val="en-US" w:eastAsia="zh-CN"/>
              </w:rPr>
              <w:t>2022.3.8</w:t>
            </w:r>
          </w:p>
        </w:tc>
        <w:tc>
          <w:tcPr>
            <w:tcW w:w="1585" w:type="dxa"/>
            <w:vMerge w:val="continue"/>
          </w:tcPr>
          <w:p>
            <w:pPr>
              <w:spacing w:line="360" w:lineRule="auto"/>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1809" w:type="dxa"/>
            <w:vMerge w:val="continue"/>
            <w:vAlign w:val="center"/>
          </w:tcPr>
          <w:p>
            <w:pPr>
              <w:spacing w:line="360" w:lineRule="auto"/>
              <w:rPr>
                <w:rFonts w:eastAsiaTheme="minorEastAsia"/>
                <w:sz w:val="24"/>
                <w:szCs w:val="24"/>
              </w:rPr>
            </w:pPr>
          </w:p>
        </w:tc>
        <w:tc>
          <w:tcPr>
            <w:tcW w:w="1311" w:type="dxa"/>
            <w:vMerge w:val="continue"/>
            <w:vAlign w:val="center"/>
          </w:tcPr>
          <w:p>
            <w:pPr>
              <w:spacing w:line="360" w:lineRule="auto"/>
              <w:rPr>
                <w:rFonts w:eastAsiaTheme="minorEastAsia"/>
                <w:sz w:val="24"/>
                <w:szCs w:val="24"/>
              </w:rPr>
            </w:pPr>
          </w:p>
        </w:tc>
        <w:tc>
          <w:tcPr>
            <w:tcW w:w="10004" w:type="dxa"/>
            <w:vAlign w:val="center"/>
          </w:tcPr>
          <w:p>
            <w:pPr>
              <w:spacing w:line="360" w:lineRule="auto"/>
              <w:rPr>
                <w:rFonts w:hAnsiTheme="minorEastAsia" w:eastAsiaTheme="minorEastAsia"/>
                <w:sz w:val="24"/>
                <w:szCs w:val="24"/>
              </w:rPr>
            </w:pPr>
            <w:r>
              <w:rPr>
                <w:rFonts w:hAnsiTheme="minorEastAsia" w:eastAsiaTheme="minorEastAsia"/>
                <w:sz w:val="24"/>
                <w:szCs w:val="24"/>
              </w:rPr>
              <w:t>审核条款</w:t>
            </w:r>
          </w:p>
          <w:p>
            <w:pPr>
              <w:adjustRightInd w:val="0"/>
              <w:snapToGrid w:val="0"/>
              <w:spacing w:line="360" w:lineRule="auto"/>
              <w:ind w:right="105" w:rightChars="50"/>
              <w:textAlignment w:val="baseline"/>
              <w:rPr>
                <w:rFonts w:ascii="宋体" w:hAnsi="宋体" w:cs="Arial"/>
                <w:spacing w:val="-6"/>
                <w:sz w:val="24"/>
                <w:szCs w:val="24"/>
                <w:u w:val="none"/>
              </w:rPr>
            </w:pPr>
            <w:r>
              <w:rPr>
                <w:rFonts w:hint="eastAsia" w:ascii="宋体" w:hAnsi="宋体" w:cs="Arial"/>
                <w:spacing w:val="-6"/>
                <w:sz w:val="24"/>
                <w:szCs w:val="24"/>
                <w:u w:val="none"/>
              </w:rPr>
              <w:t>QE</w:t>
            </w:r>
            <w:r>
              <w:rPr>
                <w:rFonts w:hint="eastAsia" w:ascii="宋体" w:hAnsi="宋体" w:cs="Arial"/>
                <w:spacing w:val="-6"/>
                <w:sz w:val="24"/>
                <w:szCs w:val="24"/>
                <w:u w:val="none"/>
                <w:lang w:val="en-US" w:eastAsia="zh-CN"/>
              </w:rPr>
              <w:t>O</w:t>
            </w:r>
            <w:r>
              <w:rPr>
                <w:rFonts w:hint="eastAsia" w:ascii="宋体" w:hAnsi="宋体" w:cs="Arial"/>
                <w:spacing w:val="-6"/>
                <w:sz w:val="24"/>
                <w:szCs w:val="24"/>
                <w:u w:val="none"/>
              </w:rPr>
              <w:t>:4.1理解组织及其环境、4.2理解相关方的需求和期望、4.3 确定管理体系的范围、4.4质量/环境</w:t>
            </w:r>
            <w:r>
              <w:rPr>
                <w:rFonts w:hint="eastAsia" w:ascii="宋体" w:hAnsi="宋体" w:cs="Arial"/>
                <w:spacing w:val="-6"/>
                <w:sz w:val="24"/>
                <w:szCs w:val="24"/>
                <w:u w:val="none"/>
                <w:lang w:val="en-US" w:eastAsia="zh-CN"/>
              </w:rPr>
              <w:t>/职业健康安全</w:t>
            </w:r>
            <w:r>
              <w:rPr>
                <w:rFonts w:hint="eastAsia" w:ascii="宋体" w:hAnsi="宋体" w:cs="Arial"/>
                <w:spacing w:val="-6"/>
                <w:sz w:val="24"/>
                <w:szCs w:val="24"/>
                <w:u w:val="none"/>
              </w:rPr>
              <w:t>管理体系及其过程、5.1领导作用和承诺、5.2质量/环境方针、5.3组织的岗位、职责和权限、</w:t>
            </w:r>
            <w:r>
              <w:rPr>
                <w:rFonts w:hint="eastAsia" w:ascii="宋体" w:hAnsi="宋体" w:cs="Arial"/>
                <w:spacing w:val="-6"/>
                <w:sz w:val="24"/>
                <w:szCs w:val="24"/>
              </w:rPr>
              <w:t>5.4协商与参与</w:t>
            </w:r>
            <w:r>
              <w:rPr>
                <w:rFonts w:hint="eastAsia" w:ascii="宋体" w:hAnsi="宋体" w:cs="Arial"/>
                <w:spacing w:val="-6"/>
                <w:sz w:val="24"/>
                <w:szCs w:val="24"/>
                <w:lang w:eastAsia="zh-CN"/>
              </w:rPr>
              <w:t>、</w:t>
            </w:r>
            <w:r>
              <w:rPr>
                <w:rFonts w:hint="eastAsia" w:ascii="宋体" w:hAnsi="宋体" w:cs="Arial"/>
                <w:spacing w:val="-6"/>
                <w:sz w:val="24"/>
                <w:szCs w:val="24"/>
                <w:u w:val="none"/>
              </w:rPr>
              <w:t>6.1应对风险和机遇的措施、6.2质量/环境</w:t>
            </w:r>
            <w:r>
              <w:rPr>
                <w:rFonts w:hint="eastAsia" w:ascii="宋体" w:hAnsi="宋体" w:cs="Arial"/>
                <w:spacing w:val="-6"/>
                <w:sz w:val="24"/>
                <w:szCs w:val="24"/>
                <w:u w:val="none"/>
                <w:lang w:val="en-US" w:eastAsia="zh-CN"/>
              </w:rPr>
              <w:t>/职业健康安全</w:t>
            </w:r>
            <w:r>
              <w:rPr>
                <w:rFonts w:hint="eastAsia" w:ascii="宋体" w:hAnsi="宋体" w:cs="Arial"/>
                <w:spacing w:val="-6"/>
                <w:sz w:val="24"/>
                <w:szCs w:val="24"/>
                <w:u w:val="none"/>
              </w:rPr>
              <w:t>目标及其实现的策划、Q6.3变更的策划、7.1.1（E7.1）资源总则、7.4沟通/信息交流、9.3管理评审、10.1改进、10.3持续改进，</w:t>
            </w:r>
          </w:p>
          <w:p>
            <w:pPr>
              <w:spacing w:line="360" w:lineRule="auto"/>
              <w:rPr>
                <w:rFonts w:hAnsiTheme="minorEastAsia" w:eastAsiaTheme="minorEastAsia"/>
                <w:sz w:val="24"/>
                <w:szCs w:val="24"/>
              </w:rPr>
            </w:pPr>
            <w:r>
              <w:rPr>
                <w:rFonts w:hint="eastAsia" w:ascii="宋体" w:hAnsi="宋体" w:cs="Arial"/>
                <w:spacing w:val="-6"/>
                <w:sz w:val="24"/>
                <w:szCs w:val="24"/>
              </w:rPr>
              <w:t>国家/地方监督抽查情况；顾客满意、相关方投诉及处理情况；一阶段问题验证，验证企业相关资质证明的有效性；</w:t>
            </w:r>
          </w:p>
        </w:tc>
        <w:tc>
          <w:tcPr>
            <w:tcW w:w="1585" w:type="dxa"/>
            <w:vMerge w:val="continue"/>
          </w:tcPr>
          <w:p>
            <w:pPr>
              <w:spacing w:line="360" w:lineRule="auto"/>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09" w:type="dxa"/>
            <w:vAlign w:val="center"/>
          </w:tcPr>
          <w:p>
            <w:pPr>
              <w:spacing w:line="360" w:lineRule="auto"/>
              <w:rPr>
                <w:rFonts w:eastAsiaTheme="minorEastAsia"/>
                <w:b/>
                <w:sz w:val="24"/>
                <w:szCs w:val="24"/>
              </w:rPr>
            </w:pPr>
            <w:r>
              <w:rPr>
                <w:rFonts w:hAnsiTheme="minorEastAsia" w:eastAsiaTheme="minorEastAsia"/>
                <w:sz w:val="24"/>
                <w:szCs w:val="24"/>
              </w:rPr>
              <w:t>企业基本信息</w:t>
            </w:r>
          </w:p>
        </w:tc>
        <w:tc>
          <w:tcPr>
            <w:tcW w:w="1311" w:type="dxa"/>
            <w:vAlign w:val="center"/>
          </w:tcPr>
          <w:p>
            <w:pPr>
              <w:spacing w:line="360" w:lineRule="auto"/>
              <w:rPr>
                <w:rFonts w:eastAsiaTheme="minorEastAsia"/>
                <w:b/>
                <w:sz w:val="24"/>
                <w:szCs w:val="24"/>
              </w:rPr>
            </w:pP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面谈人员：最管理者：</w:t>
            </w:r>
            <w:r>
              <w:rPr>
                <w:rFonts w:hint="eastAsia" w:hAnsiTheme="minorEastAsia" w:eastAsiaTheme="minorEastAsia"/>
                <w:sz w:val="24"/>
                <w:szCs w:val="24"/>
                <w:lang w:val="en-US" w:eastAsia="zh-CN"/>
              </w:rPr>
              <w:t>高彩红</w:t>
            </w:r>
            <w:r>
              <w:rPr>
                <w:rFonts w:hAnsiTheme="minorEastAsia" w:eastAsiaTheme="minorEastAsia"/>
                <w:sz w:val="24"/>
                <w:szCs w:val="24"/>
              </w:rPr>
              <w:t>，管代</w:t>
            </w:r>
            <w:r>
              <w:rPr>
                <w:rFonts w:hint="eastAsia" w:hAnsiTheme="minorEastAsia" w:eastAsiaTheme="minorEastAsia"/>
                <w:sz w:val="24"/>
                <w:szCs w:val="24"/>
                <w:lang w:val="en-US" w:eastAsia="zh-CN"/>
              </w:rPr>
              <w:t>张志坤</w:t>
            </w:r>
            <w:r>
              <w:rPr>
                <w:rFonts w:hAnsiTheme="minorEastAsia" w:eastAsiaTheme="minorEastAsia"/>
                <w:sz w:val="24"/>
                <w:szCs w:val="24"/>
              </w:rPr>
              <w:t>，</w:t>
            </w:r>
          </w:p>
          <w:p>
            <w:pPr>
              <w:spacing w:beforeLines="30" w:afterLines="30" w:line="288" w:lineRule="auto"/>
              <w:ind w:firstLine="480" w:firstLineChars="200"/>
              <w:rPr>
                <w:rFonts w:eastAsiaTheme="minorEastAsia"/>
                <w:color w:val="000000"/>
                <w:sz w:val="24"/>
                <w:szCs w:val="24"/>
              </w:rPr>
            </w:pPr>
            <w:r>
              <w:rPr>
                <w:rFonts w:hAnsiTheme="minorEastAsia" w:eastAsiaTheme="minorEastAsia"/>
                <w:sz w:val="24"/>
                <w:szCs w:val="24"/>
              </w:rPr>
              <w:t>公司成立于</w:t>
            </w:r>
            <w:r>
              <w:rPr>
                <w:rFonts w:eastAsiaTheme="minorEastAsia"/>
                <w:sz w:val="24"/>
                <w:szCs w:val="24"/>
              </w:rPr>
              <w:t>20</w:t>
            </w:r>
            <w:r>
              <w:rPr>
                <w:rFonts w:hint="eastAsia" w:eastAsiaTheme="minorEastAsia"/>
                <w:sz w:val="24"/>
                <w:szCs w:val="24"/>
                <w:lang w:val="en-US" w:eastAsia="zh-CN"/>
              </w:rPr>
              <w:t>15</w:t>
            </w:r>
            <w:r>
              <w:rPr>
                <w:rFonts w:hAnsiTheme="minorEastAsia" w:eastAsiaTheme="minorEastAsia"/>
                <w:sz w:val="24"/>
                <w:szCs w:val="24"/>
              </w:rPr>
              <w:t>年</w:t>
            </w:r>
            <w:r>
              <w:rPr>
                <w:rFonts w:hint="eastAsia" w:eastAsiaTheme="minorEastAsia"/>
                <w:sz w:val="24"/>
                <w:szCs w:val="24"/>
                <w:lang w:val="en-US" w:eastAsia="zh-CN"/>
              </w:rPr>
              <w:t>7</w:t>
            </w:r>
            <w:r>
              <w:rPr>
                <w:rFonts w:hAnsiTheme="minorEastAsia" w:eastAsiaTheme="minorEastAsia"/>
                <w:sz w:val="24"/>
                <w:szCs w:val="24"/>
              </w:rPr>
              <w:t>月</w:t>
            </w:r>
            <w:r>
              <w:rPr>
                <w:rFonts w:hint="eastAsia" w:eastAsiaTheme="minorEastAsia"/>
                <w:sz w:val="24"/>
                <w:szCs w:val="24"/>
                <w:lang w:val="en-US" w:eastAsia="zh-CN"/>
              </w:rPr>
              <w:t>14</w:t>
            </w:r>
            <w:r>
              <w:rPr>
                <w:rFonts w:hAnsiTheme="minorEastAsia" w:eastAsiaTheme="minorEastAsia"/>
                <w:sz w:val="24"/>
                <w:szCs w:val="24"/>
              </w:rPr>
              <w:t>日，法人代表</w:t>
            </w:r>
            <w:r>
              <w:rPr>
                <w:rFonts w:hint="eastAsia" w:hAnsiTheme="minorEastAsia" w:eastAsiaTheme="minorEastAsia"/>
                <w:sz w:val="24"/>
                <w:szCs w:val="24"/>
                <w:lang w:val="en-US" w:eastAsia="zh-CN"/>
              </w:rPr>
              <w:t>高彩红</w:t>
            </w:r>
            <w:r>
              <w:rPr>
                <w:rFonts w:hAnsiTheme="minorEastAsia" w:eastAsiaTheme="minorEastAsia"/>
                <w:sz w:val="24"/>
                <w:szCs w:val="24"/>
              </w:rPr>
              <w:t>，</w:t>
            </w:r>
            <w:r>
              <w:rPr>
                <w:rFonts w:hAnsiTheme="minorEastAsia" w:eastAsiaTheme="minorEastAsia"/>
                <w:color w:val="000000"/>
                <w:sz w:val="24"/>
                <w:szCs w:val="24"/>
              </w:rPr>
              <w:t>公司注册资本</w:t>
            </w:r>
            <w:r>
              <w:rPr>
                <w:rFonts w:hint="eastAsia" w:eastAsiaTheme="minorEastAsia"/>
                <w:color w:val="000000"/>
                <w:sz w:val="24"/>
                <w:szCs w:val="24"/>
                <w:lang w:val="en-US" w:eastAsia="zh-CN"/>
              </w:rPr>
              <w:t>500</w:t>
            </w:r>
            <w:r>
              <w:rPr>
                <w:rFonts w:hAnsiTheme="minorEastAsia" w:eastAsiaTheme="minorEastAsia"/>
                <w:color w:val="000000"/>
                <w:sz w:val="24"/>
                <w:szCs w:val="24"/>
              </w:rPr>
              <w:t>万元。</w:t>
            </w:r>
          </w:p>
          <w:p>
            <w:pPr>
              <w:spacing w:beforeLines="30" w:afterLines="30" w:line="288" w:lineRule="auto"/>
              <w:ind w:firstLine="480" w:firstLineChars="200"/>
              <w:rPr>
                <w:rFonts w:hint="default" w:asciiTheme="minorEastAsia" w:hAnsiTheme="minorEastAsia" w:eastAsiaTheme="minorEastAsia"/>
                <w:sz w:val="24"/>
                <w:szCs w:val="24"/>
                <w:lang w:val="en-US" w:eastAsia="zh-CN"/>
              </w:rPr>
            </w:pPr>
            <w:r>
              <w:rPr>
                <w:rFonts w:hAnsiTheme="minorEastAsia" w:eastAsiaTheme="minorEastAsia"/>
                <w:sz w:val="24"/>
                <w:szCs w:val="24"/>
              </w:rPr>
              <w:t>注册地址：</w:t>
            </w:r>
            <w:bookmarkStart w:id="0" w:name="注册地址"/>
            <w:r>
              <w:rPr>
                <w:rFonts w:asciiTheme="minorEastAsia" w:hAnsiTheme="minorEastAsia" w:eastAsiaTheme="minorEastAsia"/>
                <w:sz w:val="24"/>
                <w:szCs w:val="24"/>
              </w:rPr>
              <w:t>定州市砖路镇张家庄村</w:t>
            </w:r>
            <w:bookmarkEnd w:id="0"/>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经营地址：</w:t>
            </w:r>
            <w:bookmarkStart w:id="1" w:name="生产地址"/>
            <w:r>
              <w:rPr>
                <w:rFonts w:asciiTheme="minorEastAsia" w:hAnsiTheme="minorEastAsia" w:eastAsiaTheme="minorEastAsia"/>
                <w:sz w:val="24"/>
                <w:szCs w:val="24"/>
              </w:rPr>
              <w:t>定州市北城区兴定西路恒泰生活广场11层</w:t>
            </w:r>
            <w:bookmarkEnd w:id="1"/>
          </w:p>
          <w:p>
            <w:pPr>
              <w:spacing w:line="440" w:lineRule="exact"/>
              <w:ind w:firstLine="480" w:firstLineChars="200"/>
              <w:rPr>
                <w:color w:val="000000"/>
                <w:sz w:val="24"/>
                <w:szCs w:val="24"/>
              </w:rPr>
            </w:pPr>
            <w:r>
              <w:rPr>
                <w:rFonts w:hAnsiTheme="minorEastAsia" w:eastAsiaTheme="minorEastAsia"/>
                <w:color w:val="000000"/>
                <w:sz w:val="24"/>
                <w:szCs w:val="24"/>
              </w:rPr>
              <w:t>经营范围：</w:t>
            </w:r>
            <w:r>
              <w:rPr>
                <w:rFonts w:hint="eastAsia"/>
                <w:color w:val="000000"/>
                <w:sz w:val="24"/>
                <w:szCs w:val="24"/>
                <w:lang w:val="en-US" w:eastAsia="zh-CN"/>
              </w:rPr>
              <w:t>体育器材及配件、军警体能训练器材、训练健身器材、武术器材、运动防护用具、塑胶跑道、场地围网、拓展训练器材、训练场地设施、射击运动器材等制造销售</w:t>
            </w:r>
            <w:r>
              <w:rPr>
                <w:rFonts w:hint="eastAsia"/>
                <w:color w:val="000000"/>
                <w:sz w:val="24"/>
                <w:szCs w:val="24"/>
              </w:rPr>
              <w:t>；</w:t>
            </w:r>
          </w:p>
          <w:p>
            <w:pPr>
              <w:rPr>
                <w:rFonts w:eastAsiaTheme="minorEastAsia"/>
                <w:color w:val="000000"/>
                <w:sz w:val="24"/>
                <w:szCs w:val="24"/>
              </w:rPr>
            </w:pPr>
          </w:p>
          <w:p>
            <w:pPr>
              <w:spacing w:beforeLines="30" w:afterLines="30" w:line="288" w:lineRule="auto"/>
              <w:ind w:firstLine="480" w:firstLineChars="200"/>
              <w:rPr>
                <w:rFonts w:hint="default" w:eastAsiaTheme="minorEastAsia"/>
                <w:color w:val="000000"/>
                <w:sz w:val="24"/>
                <w:szCs w:val="24"/>
                <w:lang w:val="en-US" w:eastAsia="zh-CN"/>
              </w:rPr>
            </w:pPr>
            <w:r>
              <w:rPr>
                <w:rFonts w:hAnsiTheme="minorEastAsia" w:eastAsiaTheme="minorEastAsia"/>
                <w:color w:val="000000"/>
                <w:sz w:val="24"/>
                <w:szCs w:val="24"/>
              </w:rPr>
              <w:t>组织机构：</w:t>
            </w:r>
            <w:r>
              <w:rPr>
                <w:rFonts w:hint="eastAsia" w:hAnsiTheme="minorEastAsia" w:eastAsiaTheme="minorEastAsia"/>
                <w:color w:val="000000"/>
                <w:sz w:val="24"/>
                <w:szCs w:val="24"/>
                <w:lang w:val="en-US" w:eastAsia="zh-CN"/>
              </w:rPr>
              <w:t>办公室</w:t>
            </w:r>
            <w:r>
              <w:rPr>
                <w:rFonts w:hAnsiTheme="minorEastAsia" w:eastAsiaTheme="minorEastAsia"/>
                <w:color w:val="000000"/>
                <w:sz w:val="24"/>
                <w:szCs w:val="24"/>
              </w:rPr>
              <w:t>、销售部</w:t>
            </w:r>
            <w:r>
              <w:rPr>
                <w:rFonts w:hint="eastAsia" w:hAnsiTheme="minorEastAsia" w:eastAsiaTheme="minorEastAsia"/>
                <w:color w:val="000000"/>
                <w:sz w:val="24"/>
                <w:szCs w:val="24"/>
                <w:lang w:eastAsia="zh-CN"/>
              </w:rPr>
              <w:t>、</w:t>
            </w:r>
            <w:r>
              <w:rPr>
                <w:rFonts w:hint="eastAsia" w:hAnsiTheme="minorEastAsia" w:eastAsiaTheme="minorEastAsia"/>
                <w:color w:val="000000"/>
                <w:sz w:val="24"/>
                <w:szCs w:val="24"/>
                <w:lang w:val="en-US" w:eastAsia="zh-CN"/>
              </w:rPr>
              <w:t>采购部</w:t>
            </w:r>
          </w:p>
          <w:p>
            <w:pPr>
              <w:spacing w:beforeLines="30" w:afterLines="30" w:line="288" w:lineRule="auto"/>
              <w:ind w:firstLine="480" w:firstLineChars="200"/>
              <w:rPr>
                <w:rFonts w:eastAsiaTheme="minorEastAsia"/>
                <w:color w:val="000000"/>
                <w:sz w:val="24"/>
                <w:szCs w:val="24"/>
              </w:rPr>
            </w:pPr>
            <w:r>
              <w:rPr>
                <w:rFonts w:hAnsiTheme="minorEastAsia" w:eastAsiaTheme="minorEastAsia"/>
                <w:color w:val="000000"/>
                <w:sz w:val="24"/>
                <w:szCs w:val="24"/>
              </w:rPr>
              <w:t>查到了企业的营业执照，经营范围包括了认证范围内产品。</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eastAsiaTheme="minorEastAsia"/>
                <w:b/>
                <w:sz w:val="24"/>
                <w:szCs w:val="24"/>
              </w:rPr>
            </w:pPr>
            <w:r>
              <w:rPr>
                <w:rFonts w:hAnsiTheme="minorEastAsia" w:eastAsiaTheme="minorEastAsia"/>
                <w:sz w:val="24"/>
                <w:szCs w:val="24"/>
              </w:rPr>
              <w:t>领导作用和承诺、组织的岗位职责和权限</w:t>
            </w:r>
          </w:p>
        </w:tc>
        <w:tc>
          <w:tcPr>
            <w:tcW w:w="1311" w:type="dxa"/>
            <w:vAlign w:val="center"/>
          </w:tcPr>
          <w:p>
            <w:pPr>
              <w:spacing w:line="360" w:lineRule="auto"/>
              <w:rPr>
                <w:rFonts w:eastAsiaTheme="minorEastAsia"/>
                <w:b/>
                <w:sz w:val="24"/>
                <w:szCs w:val="24"/>
              </w:rPr>
            </w:pPr>
            <w:r>
              <w:rPr>
                <w:rFonts w:eastAsiaTheme="minorEastAsia"/>
                <w:sz w:val="24"/>
                <w:szCs w:val="24"/>
              </w:rPr>
              <w:t>QE</w:t>
            </w:r>
            <w:r>
              <w:rPr>
                <w:rFonts w:hint="eastAsia" w:eastAsiaTheme="minorEastAsia"/>
                <w:sz w:val="24"/>
                <w:szCs w:val="24"/>
                <w:lang w:val="en-US" w:eastAsia="zh-CN"/>
              </w:rPr>
              <w:t>O</w:t>
            </w:r>
            <w:r>
              <w:rPr>
                <w:rFonts w:hAnsiTheme="minorEastAsia" w:eastAsiaTheme="minorEastAsia"/>
                <w:sz w:val="24"/>
                <w:szCs w:val="24"/>
              </w:rPr>
              <w:t>：</w:t>
            </w:r>
            <w:r>
              <w:rPr>
                <w:rFonts w:eastAsiaTheme="minorEastAsia"/>
                <w:sz w:val="24"/>
                <w:szCs w:val="24"/>
              </w:rPr>
              <w:t>5.1</w:t>
            </w:r>
            <w:r>
              <w:rPr>
                <w:rFonts w:hAnsiTheme="minorEastAsia" w:eastAsiaTheme="minorEastAsia"/>
                <w:sz w:val="24"/>
                <w:szCs w:val="24"/>
              </w:rPr>
              <w:t>，</w:t>
            </w:r>
            <w:r>
              <w:rPr>
                <w:rFonts w:eastAsiaTheme="minorEastAsia"/>
                <w:sz w:val="24"/>
                <w:szCs w:val="24"/>
              </w:rPr>
              <w:t xml:space="preserve">5.3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据管代</w:t>
            </w:r>
            <w:r>
              <w:rPr>
                <w:rFonts w:hint="eastAsia" w:hAnsiTheme="minorEastAsia" w:eastAsiaTheme="minorEastAsia"/>
                <w:sz w:val="24"/>
                <w:szCs w:val="24"/>
                <w:lang w:val="en-US" w:eastAsia="zh-CN"/>
              </w:rPr>
              <w:t>张志坤</w:t>
            </w:r>
            <w:r>
              <w:rPr>
                <w:rFonts w:hAnsiTheme="minorEastAsia" w:eastAsiaTheme="minorEastAsia"/>
                <w:sz w:val="24"/>
                <w:szCs w:val="24"/>
              </w:rPr>
              <w:t>介绍，公司管理体系运行已满</w:t>
            </w:r>
            <w:r>
              <w:rPr>
                <w:rFonts w:hint="eastAsia" w:eastAsiaTheme="minorEastAsia"/>
                <w:sz w:val="24"/>
                <w:szCs w:val="24"/>
                <w:lang w:val="en-US" w:eastAsia="zh-CN"/>
              </w:rPr>
              <w:t>3</w:t>
            </w:r>
            <w:r>
              <w:rPr>
                <w:rFonts w:hAnsiTheme="minorEastAsia" w:eastAsiaTheme="minorEastAsia"/>
                <w:sz w:val="24"/>
                <w:szCs w:val="24"/>
              </w:rPr>
              <w:t>个月。对部门及其职责进行了规定，设有</w:t>
            </w:r>
            <w:r>
              <w:rPr>
                <w:rFonts w:hint="eastAsia" w:hAnsiTheme="minorEastAsia" w:eastAsiaTheme="minorEastAsia"/>
                <w:color w:val="000000"/>
                <w:sz w:val="24"/>
                <w:szCs w:val="24"/>
                <w:lang w:val="en-US" w:eastAsia="zh-CN"/>
              </w:rPr>
              <w:t>办公室、采购部</w:t>
            </w:r>
            <w:r>
              <w:rPr>
                <w:rFonts w:hAnsiTheme="minorEastAsia" w:eastAsiaTheme="minorEastAsia"/>
                <w:color w:val="000000"/>
                <w:sz w:val="24"/>
                <w:szCs w:val="24"/>
              </w:rPr>
              <w:t>、销售部</w:t>
            </w:r>
            <w:r>
              <w:rPr>
                <w:rFonts w:hAnsiTheme="minorEastAsia" w:eastAsiaTheme="minorEastAsia"/>
                <w:sz w:val="24"/>
                <w:szCs w:val="24"/>
              </w:rPr>
              <w:t>，编制了岗位职责汇编，以文件上发的形式沟通各部门的职责及各部门之间工作的联系。</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w:t>
            </w:r>
            <w:r>
              <w:rPr>
                <w:rFonts w:hint="eastAsia" w:hAnsiTheme="minorEastAsia" w:eastAsiaTheme="minorEastAsia"/>
                <w:sz w:val="24"/>
                <w:szCs w:val="24"/>
                <w:lang w:val="en-US" w:eastAsia="zh-CN"/>
              </w:rPr>
              <w:t>高彩红</w:t>
            </w:r>
            <w:r>
              <w:rPr>
                <w:rFonts w:hAnsiTheme="minorEastAsia" w:eastAsiaTheme="minorEastAsia"/>
                <w:sz w:val="24"/>
                <w:szCs w:val="24"/>
              </w:rPr>
              <w:t>，主要负责公司全面工作，</w:t>
            </w:r>
            <w:r>
              <w:rPr>
                <w:rFonts w:hAnsiTheme="minorEastAsia" w:eastAsiaTheme="minorEastAsia"/>
                <w:color w:val="000000"/>
                <w:sz w:val="24"/>
                <w:szCs w:val="24"/>
              </w:rPr>
              <w:t>日常主要侧重于公司财务及采购销售工作，根据体系的要求，负责组织制定方针、目标，管理评审等工作；</w:t>
            </w:r>
            <w:r>
              <w:rPr>
                <w:rFonts w:hAnsiTheme="minorEastAsia" w:eastAsiaTheme="minorEastAsia"/>
                <w:sz w:val="24"/>
                <w:szCs w:val="24"/>
              </w:rPr>
              <w:t>确保本公司三体系所需的过程得到建立、实施和保持；在全公司范围内促进满足顾客要求意识、环境保护意识、职业健康安全意识的形成和提高；就体系有关事宜对外联系。</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总经理主持建立了质量环境职业健康安全管理体系，对管理体系的运行和保持进行了适当的授权，提供了必需的资源，能履行其管理承诺。</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组织从</w:t>
            </w:r>
            <w:r>
              <w:rPr>
                <w:rFonts w:eastAsiaTheme="minorEastAsia"/>
                <w:sz w:val="24"/>
                <w:szCs w:val="24"/>
              </w:rPr>
              <w:t>20</w:t>
            </w:r>
            <w:r>
              <w:rPr>
                <w:rFonts w:hint="eastAsia" w:eastAsiaTheme="minorEastAsia"/>
                <w:sz w:val="24"/>
                <w:szCs w:val="24"/>
              </w:rPr>
              <w:t>20</w:t>
            </w:r>
            <w:r>
              <w:rPr>
                <w:rFonts w:hAnsiTheme="minorEastAsia" w:eastAsiaTheme="minorEastAsia"/>
                <w:sz w:val="24"/>
                <w:szCs w:val="24"/>
              </w:rPr>
              <w:t>年</w:t>
            </w:r>
            <w:r>
              <w:rPr>
                <w:rFonts w:hint="eastAsia" w:eastAsiaTheme="minorEastAsia"/>
                <w:sz w:val="24"/>
                <w:szCs w:val="24"/>
                <w:lang w:val="en-US" w:eastAsia="zh-CN"/>
              </w:rPr>
              <w:t>12</w:t>
            </w:r>
            <w:r>
              <w:rPr>
                <w:rFonts w:hAnsiTheme="minorEastAsia" w:eastAsiaTheme="minorEastAsia"/>
                <w:sz w:val="24"/>
                <w:szCs w:val="24"/>
              </w:rPr>
              <w:t>月开始运行三体系，组织了内审员培训，识别了生产的过程及其相互关系，企业提供《管理手册》，依据</w:t>
            </w:r>
            <w:r>
              <w:rPr>
                <w:rFonts w:eastAsiaTheme="minorEastAsia"/>
                <w:sz w:val="24"/>
                <w:szCs w:val="24"/>
              </w:rPr>
              <w:t>GB/T19001-2016/ISO9001:2015</w:t>
            </w:r>
            <w:r>
              <w:rPr>
                <w:rFonts w:hAnsiTheme="minorEastAsia" w:eastAsiaTheme="minorEastAsia"/>
                <w:sz w:val="24"/>
                <w:szCs w:val="24"/>
              </w:rPr>
              <w:t>、</w:t>
            </w:r>
            <w:r>
              <w:rPr>
                <w:rFonts w:eastAsiaTheme="minorEastAsia"/>
                <w:sz w:val="24"/>
                <w:szCs w:val="24"/>
              </w:rPr>
              <w:t>GB/T24001-2016/IS014001:2015</w:t>
            </w:r>
            <w:r>
              <w:rPr>
                <w:rFonts w:hAnsiTheme="minorEastAsia" w:eastAsiaTheme="minorEastAsia"/>
                <w:sz w:val="24"/>
                <w:szCs w:val="24"/>
              </w:rPr>
              <w:t>、</w:t>
            </w:r>
            <w:r>
              <w:rPr>
                <w:rFonts w:eastAsiaTheme="minorEastAsia"/>
                <w:sz w:val="24"/>
                <w:szCs w:val="24"/>
              </w:rPr>
              <w:t>ISO45001:2018</w:t>
            </w:r>
            <w:r>
              <w:rPr>
                <w:rFonts w:hAnsiTheme="minorEastAsia" w:eastAsiaTheme="minorEastAsia"/>
                <w:sz w:val="24"/>
                <w:szCs w:val="24"/>
              </w:rPr>
              <w:t>标准。</w:t>
            </w:r>
            <w:r>
              <w:rPr>
                <w:rFonts w:hint="eastAsia" w:eastAsiaTheme="minorEastAsia"/>
                <w:sz w:val="24"/>
                <w:szCs w:val="24"/>
                <w:lang w:val="en-US" w:eastAsia="zh-CN"/>
              </w:rPr>
              <w:t>2020.12.10</w:t>
            </w:r>
            <w:r>
              <w:rPr>
                <w:rFonts w:hAnsiTheme="minorEastAsia" w:eastAsiaTheme="minorEastAsia"/>
                <w:sz w:val="24"/>
                <w:szCs w:val="24"/>
              </w:rPr>
              <w:t>发布，</w:t>
            </w:r>
            <w:r>
              <w:rPr>
                <w:rFonts w:hint="eastAsia" w:eastAsiaTheme="minorEastAsia"/>
                <w:sz w:val="24"/>
                <w:szCs w:val="24"/>
                <w:lang w:val="en-US" w:eastAsia="zh-CN"/>
              </w:rPr>
              <w:t>2020.12.10</w:t>
            </w:r>
            <w:r>
              <w:rPr>
                <w:rFonts w:hAnsiTheme="minorEastAsia" w:eastAsiaTheme="minorEastAsia"/>
                <w:sz w:val="24"/>
                <w:szCs w:val="24"/>
              </w:rPr>
              <w:t>实施；总经理</w:t>
            </w:r>
            <w:r>
              <w:rPr>
                <w:rFonts w:hint="eastAsia" w:hAnsiTheme="minorEastAsia" w:eastAsiaTheme="minorEastAsia"/>
                <w:sz w:val="24"/>
                <w:szCs w:val="24"/>
                <w:lang w:val="en-US" w:eastAsia="zh-CN"/>
              </w:rPr>
              <w:t>高彩红</w:t>
            </w:r>
            <w:r>
              <w:rPr>
                <w:rFonts w:hAnsiTheme="minorEastAsia" w:eastAsiaTheme="minorEastAsia"/>
                <w:sz w:val="24"/>
                <w:szCs w:val="24"/>
              </w:rPr>
              <w:t>。任命管代：</w:t>
            </w:r>
            <w:r>
              <w:rPr>
                <w:rFonts w:hint="eastAsia" w:hAnsiTheme="minorEastAsia" w:eastAsiaTheme="minorEastAsia"/>
                <w:sz w:val="24"/>
                <w:szCs w:val="24"/>
                <w:lang w:val="en-US" w:eastAsia="zh-CN"/>
              </w:rPr>
              <w:t>张志坤</w:t>
            </w:r>
            <w:r>
              <w:rPr>
                <w:rFonts w:hAnsiTheme="minorEastAsia" w:eastAsiaTheme="minorEastAsia"/>
                <w:sz w:val="24"/>
                <w:szCs w:val="24"/>
              </w:rPr>
              <w:t>；职业健康安全事务代表：</w:t>
            </w:r>
            <w:r>
              <w:rPr>
                <w:rFonts w:hint="eastAsia" w:ascii="宋体" w:hAnsi="宋体"/>
                <w:sz w:val="24"/>
                <w:szCs w:val="24"/>
                <w:u w:val="none"/>
                <w:lang w:val="en-US" w:eastAsia="zh-CN"/>
              </w:rPr>
              <w:t>徐兰英</w:t>
            </w:r>
            <w:r>
              <w:rPr>
                <w:rFonts w:hAnsiTheme="minorEastAsia" w:eastAsiaTheme="minorEastAsia"/>
                <w:sz w:val="24"/>
                <w:szCs w:val="24"/>
              </w:rPr>
              <w:t>，现有手册从发布实施以来已经运行</w:t>
            </w:r>
            <w:r>
              <w:rPr>
                <w:rFonts w:hint="eastAsia" w:eastAsiaTheme="minorEastAsia"/>
                <w:sz w:val="24"/>
                <w:szCs w:val="24"/>
                <w:lang w:val="en-US" w:eastAsia="zh-CN"/>
              </w:rPr>
              <w:t>3</w:t>
            </w:r>
            <w:r>
              <w:rPr>
                <w:rFonts w:hAnsiTheme="minorEastAsia" w:eastAsiaTheme="minorEastAsia"/>
                <w:sz w:val="24"/>
                <w:szCs w:val="24"/>
              </w:rPr>
              <w:t>个月以上。</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eastAsiaTheme="minorEastAsia"/>
                <w:b/>
                <w:sz w:val="24"/>
                <w:szCs w:val="24"/>
              </w:rPr>
            </w:pPr>
            <w:r>
              <w:rPr>
                <w:rFonts w:hAnsiTheme="minorEastAsia" w:eastAsiaTheme="minorEastAsia"/>
                <w:sz w:val="24"/>
                <w:szCs w:val="24"/>
              </w:rPr>
              <w:t>理解组织及其环境</w:t>
            </w:r>
          </w:p>
        </w:tc>
        <w:tc>
          <w:tcPr>
            <w:tcW w:w="1311" w:type="dxa"/>
            <w:vAlign w:val="center"/>
          </w:tcPr>
          <w:p>
            <w:pPr>
              <w:spacing w:line="360" w:lineRule="auto"/>
              <w:rPr>
                <w:rFonts w:eastAsiaTheme="minorEastAsia"/>
                <w:b/>
                <w:sz w:val="24"/>
                <w:szCs w:val="24"/>
              </w:rPr>
            </w:pPr>
            <w:r>
              <w:rPr>
                <w:rFonts w:eastAsiaTheme="minorEastAsia"/>
                <w:sz w:val="24"/>
                <w:szCs w:val="24"/>
              </w:rPr>
              <w:t>QE</w:t>
            </w:r>
            <w:r>
              <w:rPr>
                <w:rFonts w:hint="eastAsia" w:eastAsiaTheme="minorEastAsia"/>
                <w:sz w:val="24"/>
                <w:szCs w:val="24"/>
                <w:lang w:val="en-US" w:eastAsia="zh-CN"/>
              </w:rPr>
              <w:t>O</w:t>
            </w:r>
            <w:r>
              <w:rPr>
                <w:rFonts w:hAnsiTheme="minorEastAsia" w:eastAsiaTheme="minorEastAsia"/>
                <w:sz w:val="24"/>
                <w:szCs w:val="24"/>
              </w:rPr>
              <w:t>：</w:t>
            </w:r>
            <w:r>
              <w:rPr>
                <w:rFonts w:eastAsiaTheme="minorEastAsia"/>
                <w:sz w:val="24"/>
                <w:szCs w:val="24"/>
              </w:rPr>
              <w:t>4.1</w:t>
            </w:r>
          </w:p>
        </w:tc>
        <w:tc>
          <w:tcPr>
            <w:tcW w:w="10004" w:type="dxa"/>
            <w:vAlign w:val="center"/>
          </w:tcPr>
          <w:p>
            <w:pPr>
              <w:spacing w:beforeLines="30" w:afterLines="30" w:line="288" w:lineRule="auto"/>
              <w:ind w:firstLine="480" w:firstLineChars="200"/>
              <w:rPr>
                <w:rFonts w:eastAsiaTheme="minorEastAsia"/>
                <w:color w:val="000000"/>
                <w:sz w:val="24"/>
                <w:szCs w:val="24"/>
              </w:rPr>
            </w:pPr>
            <w:r>
              <w:rPr>
                <w:rFonts w:hAnsiTheme="minorEastAsia" w:eastAsiaTheme="minorEastAsia"/>
                <w:color w:val="000000"/>
                <w:sz w:val="24"/>
                <w:szCs w:val="24"/>
              </w:rPr>
              <w:t>提供《管理手册》，对公司地理位置、国内市场地位、法律法规要求、公司内部文化观价值观、内外部环境变化等均作出描述。</w:t>
            </w:r>
          </w:p>
          <w:p>
            <w:pPr>
              <w:spacing w:beforeLines="30" w:afterLines="30" w:line="288" w:lineRule="auto"/>
              <w:ind w:firstLine="480" w:firstLineChars="200"/>
              <w:rPr>
                <w:rFonts w:eastAsiaTheme="minorEastAsia"/>
                <w:color w:val="000000"/>
                <w:sz w:val="24"/>
                <w:szCs w:val="24"/>
              </w:rPr>
            </w:pPr>
            <w:r>
              <w:rPr>
                <w:rFonts w:hAnsiTheme="minorEastAsia" w:eastAsiaTheme="minorEastAsia"/>
                <w:color w:val="000000"/>
                <w:sz w:val="24"/>
                <w:szCs w:val="24"/>
              </w:rPr>
              <w:t>与总经理</w:t>
            </w:r>
            <w:r>
              <w:rPr>
                <w:rFonts w:hint="eastAsia" w:hAnsiTheme="minorEastAsia" w:eastAsiaTheme="minorEastAsia"/>
                <w:color w:val="000000"/>
                <w:sz w:val="24"/>
                <w:szCs w:val="24"/>
                <w:lang w:val="en-US" w:eastAsia="zh-CN"/>
              </w:rPr>
              <w:t>高彩红</w:t>
            </w:r>
            <w:r>
              <w:rPr>
                <w:rFonts w:hAnsiTheme="minorEastAsia" w:eastAsiaTheme="minorEastAsia"/>
                <w:color w:val="000000"/>
                <w:sz w:val="24"/>
                <w:szCs w:val="24"/>
              </w:rPr>
              <w:t>沟通，简单介绍了公司发展历程、公司文化的形成与发展、长短期发展目标、价值观的沟通，并对如何创造公司良好的内部环境提出要求，对公司目前所处的外部环境也做了简单分析。公司介绍，销售的产品在国内业务逐步开展，在行业内占据一定市场地位。</w:t>
            </w:r>
          </w:p>
          <w:p>
            <w:pPr>
              <w:spacing w:beforeLines="30" w:afterLines="30" w:line="288" w:lineRule="auto"/>
              <w:ind w:firstLine="480" w:firstLineChars="200"/>
              <w:rPr>
                <w:rFonts w:eastAsiaTheme="minorEastAsia"/>
                <w:sz w:val="24"/>
                <w:szCs w:val="24"/>
              </w:rPr>
            </w:pPr>
            <w:r>
              <w:rPr>
                <w:rFonts w:hAnsiTheme="minorEastAsia" w:eastAsiaTheme="minorEastAsia"/>
                <w:color w:val="000000"/>
                <w:sz w:val="24"/>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eastAsiaTheme="minorEastAsia"/>
                <w:b/>
                <w:sz w:val="24"/>
                <w:szCs w:val="24"/>
              </w:rPr>
            </w:pPr>
            <w:r>
              <w:rPr>
                <w:rFonts w:hAnsiTheme="minorEastAsia" w:eastAsiaTheme="minorEastAsia"/>
                <w:sz w:val="24"/>
                <w:szCs w:val="24"/>
              </w:rPr>
              <w:t>理解相关方的需求和期望</w:t>
            </w:r>
          </w:p>
        </w:tc>
        <w:tc>
          <w:tcPr>
            <w:tcW w:w="1311" w:type="dxa"/>
            <w:vAlign w:val="center"/>
          </w:tcPr>
          <w:p>
            <w:pPr>
              <w:spacing w:line="360" w:lineRule="auto"/>
              <w:rPr>
                <w:rFonts w:eastAsiaTheme="minorEastAsia"/>
                <w:sz w:val="24"/>
                <w:szCs w:val="24"/>
              </w:rPr>
            </w:pPr>
            <w:r>
              <w:rPr>
                <w:rFonts w:eastAsiaTheme="minorEastAsia"/>
                <w:sz w:val="24"/>
                <w:szCs w:val="24"/>
              </w:rPr>
              <w:t>QE</w:t>
            </w:r>
            <w:r>
              <w:rPr>
                <w:rFonts w:hint="eastAsia" w:eastAsiaTheme="minorEastAsia"/>
                <w:sz w:val="24"/>
                <w:szCs w:val="24"/>
                <w:lang w:val="en-US" w:eastAsia="zh-CN"/>
              </w:rPr>
              <w:t>O</w:t>
            </w:r>
            <w:r>
              <w:rPr>
                <w:rFonts w:hAnsiTheme="minorEastAsia" w:eastAsiaTheme="minorEastAsia"/>
                <w:sz w:val="24"/>
                <w:szCs w:val="24"/>
              </w:rPr>
              <w:t>：</w:t>
            </w:r>
            <w:r>
              <w:rPr>
                <w:rFonts w:eastAsiaTheme="minorEastAsia"/>
                <w:sz w:val="24"/>
                <w:szCs w:val="24"/>
              </w:rPr>
              <w:t>4.2</w:t>
            </w:r>
          </w:p>
        </w:tc>
        <w:tc>
          <w:tcPr>
            <w:tcW w:w="10004" w:type="dxa"/>
            <w:vAlign w:val="center"/>
          </w:tcPr>
          <w:p>
            <w:pPr>
              <w:spacing w:beforeLines="30" w:afterLines="30" w:line="288" w:lineRule="auto"/>
              <w:ind w:firstLine="480" w:firstLineChars="200"/>
              <w:rPr>
                <w:rFonts w:eastAsiaTheme="minorEastAsia"/>
                <w:color w:val="000000"/>
                <w:sz w:val="24"/>
                <w:szCs w:val="24"/>
              </w:rPr>
            </w:pPr>
            <w:r>
              <w:rPr>
                <w:rFonts w:hAnsiTheme="minorEastAsia" w:eastAsiaTheme="minorEastAsia"/>
                <w:color w:val="000000"/>
                <w:sz w:val="24"/>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基本识别了与组织管理体系有关的相关方和要求</w:t>
            </w:r>
            <w:r>
              <w:rPr>
                <w:rFonts w:hAnsiTheme="minorEastAsia" w:eastAsiaTheme="minorEastAsia"/>
                <w:sz w:val="24"/>
                <w:szCs w:val="24"/>
                <w:lang w:val="zh-CN"/>
              </w:rPr>
              <w:t>。</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w:t>
            </w:r>
            <w:r>
              <w:rPr>
                <w:rFonts w:eastAsiaTheme="minorEastAsia"/>
                <w:sz w:val="24"/>
                <w:szCs w:val="24"/>
              </w:rPr>
              <w:t>/</w:t>
            </w:r>
            <w:r>
              <w:rPr>
                <w:rFonts w:hAnsiTheme="minorEastAsia" w:eastAsiaTheme="minorEastAsia"/>
                <w:sz w:val="24"/>
                <w:szCs w:val="24"/>
              </w:rPr>
              <w:t>职业健康安全管理体系的范围</w:t>
            </w:r>
          </w:p>
        </w:tc>
        <w:tc>
          <w:tcPr>
            <w:tcW w:w="1311" w:type="dxa"/>
            <w:vAlign w:val="center"/>
          </w:tcPr>
          <w:p>
            <w:pPr>
              <w:spacing w:line="360" w:lineRule="auto"/>
              <w:rPr>
                <w:rFonts w:eastAsiaTheme="minorEastAsia"/>
                <w:color w:val="000000"/>
                <w:sz w:val="24"/>
                <w:szCs w:val="24"/>
              </w:rPr>
            </w:pPr>
            <w:r>
              <w:rPr>
                <w:rFonts w:eastAsiaTheme="minorEastAsia"/>
                <w:color w:val="000000"/>
                <w:sz w:val="24"/>
                <w:szCs w:val="24"/>
              </w:rPr>
              <w:t>QE</w:t>
            </w:r>
            <w:r>
              <w:rPr>
                <w:rFonts w:hint="eastAsia" w:eastAsiaTheme="minorEastAsia"/>
                <w:color w:val="000000"/>
                <w:sz w:val="24"/>
                <w:szCs w:val="24"/>
                <w:lang w:val="en-US" w:eastAsia="zh-CN"/>
              </w:rPr>
              <w:t>O</w:t>
            </w:r>
            <w:r>
              <w:rPr>
                <w:rFonts w:hAnsiTheme="minorEastAsia" w:eastAsiaTheme="minorEastAsia"/>
                <w:color w:val="000000"/>
                <w:sz w:val="24"/>
                <w:szCs w:val="24"/>
              </w:rPr>
              <w:t>：</w:t>
            </w:r>
            <w:r>
              <w:rPr>
                <w:rFonts w:eastAsiaTheme="minorEastAsia"/>
                <w:color w:val="000000"/>
                <w:sz w:val="24"/>
                <w:szCs w:val="24"/>
              </w:rPr>
              <w:t xml:space="preserve">4.3 </w:t>
            </w:r>
          </w:p>
        </w:tc>
        <w:tc>
          <w:tcPr>
            <w:tcW w:w="10004" w:type="dxa"/>
            <w:vAlign w:val="center"/>
          </w:tcPr>
          <w:p>
            <w:pPr>
              <w:spacing w:beforeLines="30" w:afterLines="30" w:line="288" w:lineRule="auto"/>
              <w:ind w:firstLine="480" w:firstLineChars="200"/>
              <w:jc w:val="left"/>
              <w:rPr>
                <w:rFonts w:eastAsiaTheme="minorEastAsia"/>
                <w:color w:val="000000"/>
                <w:sz w:val="24"/>
                <w:szCs w:val="24"/>
              </w:rPr>
            </w:pPr>
            <w:r>
              <w:rPr>
                <w:rFonts w:hAnsiTheme="minorEastAsia" w:eastAsiaTheme="minorEastAsia"/>
                <w:color w:val="000000"/>
                <w:sz w:val="24"/>
                <w:szCs w:val="24"/>
              </w:rPr>
              <w:t>经确认企业的管理体系范围是：</w:t>
            </w:r>
          </w:p>
          <w:p>
            <w:pPr>
              <w:spacing w:line="360" w:lineRule="auto"/>
              <w:rPr>
                <w:rFonts w:eastAsiaTheme="minorEastAsia"/>
                <w:color w:val="000000"/>
                <w:sz w:val="24"/>
                <w:szCs w:val="24"/>
              </w:rPr>
            </w:pPr>
            <w:r>
              <w:rPr>
                <w:rFonts w:hint="eastAsia" w:eastAsiaTheme="minorEastAsia"/>
                <w:color w:val="000000"/>
                <w:sz w:val="24"/>
                <w:szCs w:val="24"/>
              </w:rPr>
              <w:t>Q：</w:t>
            </w:r>
            <w:r>
              <w:rPr>
                <w:sz w:val="24"/>
                <w:szCs w:val="24"/>
              </w:rPr>
              <w:t>塑胶跑道、场地围网、体育器材及配件、训练健身器材、武术器材、教学专用仪器、军警体能训练器材、服装、箱包、帐篷、运动防护用具、靶标及靶场设备、拓展训练器材的销售</w:t>
            </w:r>
          </w:p>
          <w:p>
            <w:pPr>
              <w:spacing w:line="360" w:lineRule="auto"/>
              <w:rPr>
                <w:sz w:val="24"/>
                <w:szCs w:val="24"/>
              </w:rPr>
            </w:pPr>
            <w:r>
              <w:rPr>
                <w:rFonts w:hint="eastAsia" w:eastAsiaTheme="minorEastAsia"/>
                <w:color w:val="000000"/>
                <w:sz w:val="24"/>
                <w:szCs w:val="24"/>
              </w:rPr>
              <w:t>E：</w:t>
            </w:r>
            <w:r>
              <w:rPr>
                <w:sz w:val="24"/>
                <w:szCs w:val="24"/>
              </w:rPr>
              <w:t>塑胶跑道、场地围网、体育器材及配件、训练健身器材、武术器材、教学专用仪器、军警体能训练器材、服装、箱包、帐篷、运动防护用具、靶标及靶场设备、拓展训练器材的销售所涉及场所的相关环境管理活动</w:t>
            </w:r>
          </w:p>
          <w:p>
            <w:pPr>
              <w:spacing w:beforeLines="30" w:afterLines="30" w:line="360" w:lineRule="auto"/>
              <w:rPr>
                <w:rFonts w:eastAsiaTheme="minorEastAsia"/>
                <w:color w:val="000000"/>
                <w:sz w:val="24"/>
                <w:szCs w:val="24"/>
              </w:rPr>
            </w:pPr>
            <w:r>
              <w:rPr>
                <w:rFonts w:hint="eastAsia" w:eastAsiaTheme="minorEastAsia"/>
                <w:color w:val="000000"/>
                <w:sz w:val="24"/>
                <w:szCs w:val="24"/>
              </w:rPr>
              <w:t>O：</w:t>
            </w:r>
            <w:r>
              <w:rPr>
                <w:sz w:val="24"/>
                <w:szCs w:val="24"/>
              </w:rPr>
              <w:t>塑胶跑道、场地围网、体育器材及配件、训练健身器材、武术器材、教学专用仪器、军警体能训练器材、服装、箱包、帐篷、运动防护用具、靶标及靶场设备、拓展训练器材的销售所涉及场所的相关职业健康安全管理活动</w:t>
            </w:r>
          </w:p>
          <w:p>
            <w:pPr>
              <w:spacing w:beforeLines="30" w:afterLines="30" w:line="288" w:lineRule="auto"/>
              <w:ind w:firstLine="480" w:firstLineChars="200"/>
              <w:rPr>
                <w:rFonts w:hAnsiTheme="minorEastAsia" w:eastAsiaTheme="minorEastAsia"/>
                <w:sz w:val="24"/>
                <w:szCs w:val="24"/>
              </w:rPr>
            </w:pPr>
            <w:r>
              <w:rPr>
                <w:rFonts w:hAnsiTheme="minorEastAsia" w:eastAsiaTheme="minorEastAsia"/>
                <w:sz w:val="24"/>
                <w:szCs w:val="24"/>
              </w:rPr>
              <w:t>体系自运行以来范围没有变化</w:t>
            </w:r>
          </w:p>
          <w:p>
            <w:pPr>
              <w:spacing w:beforeLines="30" w:afterLines="30" w:line="288" w:lineRule="auto"/>
              <w:ind w:firstLine="480" w:firstLineChars="200"/>
              <w:rPr>
                <w:rFonts w:hint="eastAsia" w:hAnsiTheme="minorEastAsia" w:eastAsiaTheme="minorEastAsia"/>
                <w:sz w:val="24"/>
                <w:szCs w:val="24"/>
                <w:lang w:val="en-US" w:eastAsia="zh-CN"/>
              </w:rPr>
            </w:pPr>
            <w:r>
              <w:rPr>
                <w:rFonts w:hint="eastAsia" w:hAnsiTheme="minorEastAsia" w:eastAsiaTheme="minorEastAsia"/>
                <w:sz w:val="24"/>
                <w:szCs w:val="24"/>
                <w:lang w:val="en-US" w:eastAsia="zh-CN"/>
              </w:rPr>
              <w:t>经识别外包过程为产品运输，特殊过程为销售过程</w:t>
            </w:r>
          </w:p>
          <w:p>
            <w:pPr>
              <w:spacing w:line="360" w:lineRule="auto"/>
              <w:ind w:firstLine="480" w:firstLineChars="200"/>
              <w:rPr>
                <w:rFonts w:hint="default" w:eastAsiaTheme="minorEastAsia"/>
                <w:color w:val="FF0000"/>
                <w:sz w:val="24"/>
                <w:szCs w:val="24"/>
                <w:lang w:val="en-US" w:eastAsia="zh-CN"/>
              </w:rPr>
            </w:pPr>
            <w:r>
              <w:rPr>
                <w:rFonts w:hint="eastAsia" w:ascii="宋体" w:hAnsi="宋体"/>
                <w:sz w:val="24"/>
                <w:szCs w:val="24"/>
              </w:rPr>
              <w:t>根据本公司产品和服务特点，产品依据国标、行业标准、客户要求进行销售，销售模式固定，无设计开发要求，故不适用GB/T19001-2016标准的8.3条款，但不影响组织确保其产品和服务合格的能力或责任，对增强顾客满意也不会产生影响。</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职业健康安全管理体系及其过程</w:t>
            </w:r>
          </w:p>
        </w:tc>
        <w:tc>
          <w:tcPr>
            <w:tcW w:w="1311" w:type="dxa"/>
            <w:vAlign w:val="center"/>
          </w:tcPr>
          <w:p>
            <w:pPr>
              <w:spacing w:line="360" w:lineRule="auto"/>
              <w:rPr>
                <w:rFonts w:eastAsiaTheme="minorEastAsia"/>
                <w:sz w:val="24"/>
                <w:szCs w:val="24"/>
              </w:rPr>
            </w:pPr>
            <w:r>
              <w:rPr>
                <w:rFonts w:eastAsiaTheme="minorEastAsia"/>
                <w:sz w:val="24"/>
                <w:szCs w:val="24"/>
              </w:rPr>
              <w:t>QE</w:t>
            </w:r>
            <w:r>
              <w:rPr>
                <w:rFonts w:hint="eastAsia" w:eastAsiaTheme="minorEastAsia"/>
                <w:sz w:val="24"/>
                <w:szCs w:val="24"/>
                <w:lang w:val="en-US" w:eastAsia="zh-CN"/>
              </w:rPr>
              <w:t>O</w:t>
            </w:r>
            <w:r>
              <w:rPr>
                <w:rFonts w:hAnsiTheme="minorEastAsia" w:eastAsiaTheme="minorEastAsia"/>
                <w:sz w:val="24"/>
                <w:szCs w:val="24"/>
              </w:rPr>
              <w:t>：</w:t>
            </w:r>
            <w:r>
              <w:rPr>
                <w:rFonts w:eastAsiaTheme="minorEastAsia"/>
                <w:sz w:val="24"/>
                <w:szCs w:val="24"/>
              </w:rPr>
              <w:t xml:space="preserve">4.4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公司按照</w:t>
            </w:r>
            <w:r>
              <w:rPr>
                <w:rFonts w:eastAsiaTheme="minorEastAsia"/>
                <w:sz w:val="24"/>
                <w:szCs w:val="24"/>
              </w:rPr>
              <w:t xml:space="preserve"> GB/T19001-2016 </w:t>
            </w:r>
            <w:r>
              <w:rPr>
                <w:rFonts w:hAnsiTheme="minorEastAsia" w:eastAsiaTheme="minorEastAsia"/>
                <w:sz w:val="24"/>
                <w:szCs w:val="24"/>
              </w:rPr>
              <w:t>和</w:t>
            </w:r>
            <w:r>
              <w:rPr>
                <w:rFonts w:eastAsiaTheme="minorEastAsia"/>
                <w:sz w:val="24"/>
                <w:szCs w:val="24"/>
              </w:rPr>
              <w:t xml:space="preserve"> GB/T24001-2016</w:t>
            </w:r>
            <w:r>
              <w:rPr>
                <w:rFonts w:hAnsiTheme="minorEastAsia" w:eastAsiaTheme="minorEastAsia"/>
                <w:sz w:val="24"/>
                <w:szCs w:val="24"/>
              </w:rPr>
              <w:t>、</w:t>
            </w:r>
            <w:r>
              <w:rPr>
                <w:rFonts w:eastAsiaTheme="minorEastAsia"/>
                <w:sz w:val="24"/>
                <w:szCs w:val="24"/>
              </w:rPr>
              <w:t xml:space="preserve">ISO45001:2018 </w:t>
            </w:r>
            <w:r>
              <w:rPr>
                <w:rFonts w:hAnsiTheme="minorEastAsia" w:eastAsiaTheme="minorEastAsia"/>
                <w:sz w:val="24"/>
                <w:szCs w:val="24"/>
              </w:rPr>
              <w:t>标准的要求识别了质量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职业健康安全管理所需的过程及相互作用，识别了质量和环境、职业健康安全管理体系涉及的各个过程：</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a) </w:t>
            </w:r>
            <w:r>
              <w:rPr>
                <w:rFonts w:hAnsiTheme="minorEastAsia" w:eastAsiaTheme="minorEastAsia"/>
                <w:sz w:val="24"/>
                <w:szCs w:val="24"/>
              </w:rPr>
              <w:t>确定这些过程所需的输入和期望的输出；</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b) </w:t>
            </w:r>
            <w:r>
              <w:rPr>
                <w:rFonts w:hAnsiTheme="minorEastAsia" w:eastAsiaTheme="minorEastAsia"/>
                <w:sz w:val="24"/>
                <w:szCs w:val="24"/>
              </w:rPr>
              <w:t>确定这些过程的顺序和相互作用；</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c) </w:t>
            </w:r>
            <w:r>
              <w:rPr>
                <w:rFonts w:hAnsiTheme="minorEastAsia" w:eastAsiaTheme="minorEastAsia"/>
                <w:sz w:val="24"/>
                <w:szCs w:val="24"/>
              </w:rPr>
              <w:t>建立了程序文件、管理制度、作业指导书、检验规程等明确了各个过程所需的准则和方法，并明确了目标。</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d) </w:t>
            </w:r>
            <w:r>
              <w:rPr>
                <w:rFonts w:hAnsiTheme="minorEastAsia" w:eastAsiaTheme="minorEastAsia"/>
                <w:sz w:val="24"/>
                <w:szCs w:val="24"/>
              </w:rPr>
              <w:t>规定了每个过程所需的资源；</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e) </w:t>
            </w:r>
            <w:r>
              <w:rPr>
                <w:rFonts w:hAnsiTheme="minorEastAsia" w:eastAsiaTheme="minorEastAsia"/>
                <w:sz w:val="24"/>
                <w:szCs w:val="24"/>
              </w:rPr>
              <w:t>规定与这些过程相关的责任和权限；</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  f) </w:t>
            </w:r>
            <w:r>
              <w:rPr>
                <w:rFonts w:hAnsiTheme="minorEastAsia" w:eastAsiaTheme="minorEastAsia"/>
                <w:sz w:val="24"/>
                <w:szCs w:val="24"/>
              </w:rPr>
              <w:t>针对这些过程识别和确定了质量管理活动的风险、机会以及所需的措施；</w:t>
            </w:r>
          </w:p>
          <w:p>
            <w:pPr>
              <w:spacing w:beforeLines="30" w:afterLines="30" w:line="288" w:lineRule="auto"/>
              <w:ind w:firstLine="480" w:firstLineChars="200"/>
              <w:rPr>
                <w:rFonts w:eastAsiaTheme="minorEastAsia"/>
                <w:sz w:val="24"/>
                <w:szCs w:val="24"/>
              </w:rPr>
            </w:pPr>
            <w:r>
              <w:rPr>
                <w:rFonts w:eastAsiaTheme="minorEastAsia"/>
                <w:sz w:val="24"/>
                <w:szCs w:val="24"/>
              </w:rPr>
              <w:t xml:space="preserve">g) </w:t>
            </w:r>
            <w:r>
              <w:rPr>
                <w:rFonts w:hAnsiTheme="minorEastAsia" w:eastAsiaTheme="minorEastAsia"/>
                <w:sz w:val="24"/>
                <w:szCs w:val="24"/>
              </w:rPr>
              <w:t>对这些过程进行了评价，暂无所需的变更；</w:t>
            </w:r>
          </w:p>
          <w:p>
            <w:pPr>
              <w:spacing w:beforeLines="30" w:afterLines="30" w:line="288" w:lineRule="auto"/>
              <w:ind w:firstLine="480" w:firstLineChars="200"/>
              <w:rPr>
                <w:rFonts w:eastAsiaTheme="minorEastAsia"/>
                <w:sz w:val="24"/>
                <w:szCs w:val="24"/>
              </w:rPr>
            </w:pPr>
            <w:r>
              <w:rPr>
                <w:rFonts w:eastAsiaTheme="minorEastAsia"/>
                <w:sz w:val="24"/>
                <w:szCs w:val="24"/>
              </w:rPr>
              <w:t xml:space="preserve">h) </w:t>
            </w:r>
            <w:r>
              <w:rPr>
                <w:rFonts w:hAnsiTheme="minorEastAsia" w:eastAsiaTheme="minorEastAsia"/>
                <w:sz w:val="24"/>
                <w:szCs w:val="24"/>
              </w:rPr>
              <w:t>公司通过绩效评价、内部审核、管理评审等以期对质量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职业健康安全管理管理体系得到改进。</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公司按照标准建立了文件化的质量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职业健康安全管理体系，编制了质量／环境</w:t>
            </w:r>
            <w:r>
              <w:rPr>
                <w:rFonts w:eastAsiaTheme="minorEastAsia"/>
                <w:sz w:val="24"/>
                <w:szCs w:val="24"/>
              </w:rPr>
              <w:t>/</w:t>
            </w:r>
            <w:r>
              <w:rPr>
                <w:rFonts w:hAnsiTheme="minorEastAsia" w:eastAsiaTheme="minorEastAsia"/>
                <w:sz w:val="24"/>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方针</w:t>
            </w:r>
          </w:p>
        </w:tc>
        <w:tc>
          <w:tcPr>
            <w:tcW w:w="1311" w:type="dxa"/>
            <w:vAlign w:val="center"/>
          </w:tcPr>
          <w:p>
            <w:pPr>
              <w:spacing w:line="360" w:lineRule="auto"/>
              <w:rPr>
                <w:rFonts w:eastAsiaTheme="minorEastAsia"/>
                <w:sz w:val="24"/>
                <w:szCs w:val="24"/>
              </w:rPr>
            </w:pPr>
            <w:r>
              <w:rPr>
                <w:rFonts w:eastAsiaTheme="minorEastAsia"/>
                <w:sz w:val="24"/>
                <w:szCs w:val="24"/>
              </w:rPr>
              <w:t>QE</w:t>
            </w:r>
            <w:r>
              <w:rPr>
                <w:rFonts w:hint="eastAsia" w:eastAsiaTheme="minorEastAsia"/>
                <w:sz w:val="24"/>
                <w:szCs w:val="24"/>
                <w:lang w:val="en-US" w:eastAsia="zh-CN"/>
              </w:rPr>
              <w:t>O</w:t>
            </w:r>
            <w:r>
              <w:rPr>
                <w:rFonts w:hAnsiTheme="minorEastAsia" w:eastAsiaTheme="minorEastAsia"/>
                <w:sz w:val="24"/>
                <w:szCs w:val="24"/>
              </w:rPr>
              <w:t>：</w:t>
            </w:r>
            <w:r>
              <w:rPr>
                <w:rFonts w:eastAsiaTheme="minorEastAsia"/>
                <w:sz w:val="24"/>
                <w:szCs w:val="24"/>
              </w:rPr>
              <w:t xml:space="preserve">5.2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企业已经制定质量、环境、安全方针，具体包含在《管理手册》，公司的质量、环境、职业健康安全方针是：</w:t>
            </w:r>
          </w:p>
          <w:p>
            <w:pPr>
              <w:spacing w:line="360" w:lineRule="auto"/>
              <w:ind w:left="248" w:leftChars="118" w:right="-60" w:firstLine="235" w:firstLineChars="92"/>
              <w:jc w:val="left"/>
              <w:rPr>
                <w:rFonts w:hint="eastAsia" w:ascii="华文中宋" w:hAnsi="华文中宋" w:eastAsia="华文中宋" w:cs="宋体"/>
                <w:color w:val="000000"/>
              </w:rPr>
            </w:pPr>
            <w:r>
              <w:rPr>
                <w:rFonts w:hint="eastAsia" w:ascii="宋体" w:hAnsi="宋体"/>
                <w:b w:val="0"/>
                <w:bCs/>
                <w:spacing w:val="8"/>
                <w:sz w:val="24"/>
                <w:szCs w:val="24"/>
              </w:rPr>
              <w:t>守法诚信追求精品，预防污染保护环境；关爱员工健康安全，持续改进追求卓越。</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查领导层参与制定管理体系方针的情况，是否熟悉组织的管理体系方针内容、含义：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w:t>
            </w:r>
            <w:r>
              <w:rPr>
                <w:rFonts w:hint="eastAsia" w:hAnsiTheme="minorEastAsia" w:eastAsiaTheme="minorEastAsia"/>
                <w:sz w:val="24"/>
                <w:szCs w:val="24"/>
                <w:lang w:val="en-US" w:eastAsia="zh-CN"/>
              </w:rPr>
              <w:t>高彩红</w:t>
            </w:r>
            <w:r>
              <w:rPr>
                <w:rFonts w:hAnsiTheme="minorEastAsia" w:eastAsiaTheme="minorEastAsia"/>
                <w:sz w:val="24"/>
                <w:szCs w:val="24"/>
              </w:rPr>
              <w:t>，管代</w:t>
            </w:r>
            <w:r>
              <w:rPr>
                <w:rFonts w:hint="eastAsia" w:hAnsiTheme="minorEastAsia" w:eastAsiaTheme="minorEastAsia"/>
                <w:sz w:val="24"/>
                <w:szCs w:val="24"/>
                <w:lang w:val="en-US" w:eastAsia="zh-CN"/>
              </w:rPr>
              <w:t>张志坤</w:t>
            </w:r>
            <w:r>
              <w:rPr>
                <w:rFonts w:hAnsiTheme="minorEastAsia" w:eastAsiaTheme="minorEastAsia"/>
                <w:sz w:val="24"/>
                <w:szCs w:val="24"/>
              </w:rPr>
              <w:t>，按照标准要求制订的方针，并介绍了方针的含义，对体系知识的学习还需加强。管理评审对质量、环境、职业健康安全方针的适宜性作了评审，判定适宜，适合公司的发展需求。质量、环境和职业健康安全方针符合标准要求。</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组织的角色、职责和权限</w:t>
            </w:r>
          </w:p>
        </w:tc>
        <w:tc>
          <w:tcPr>
            <w:tcW w:w="1311" w:type="dxa"/>
            <w:vAlign w:val="center"/>
          </w:tcPr>
          <w:p>
            <w:pPr>
              <w:spacing w:line="360" w:lineRule="auto"/>
              <w:rPr>
                <w:rFonts w:eastAsiaTheme="minorEastAsia"/>
                <w:sz w:val="24"/>
                <w:szCs w:val="24"/>
              </w:rPr>
            </w:pPr>
            <w:r>
              <w:rPr>
                <w:rFonts w:eastAsiaTheme="minorEastAsia"/>
                <w:sz w:val="24"/>
                <w:szCs w:val="24"/>
              </w:rPr>
              <w:t>QE</w:t>
            </w:r>
            <w:r>
              <w:rPr>
                <w:rFonts w:hint="eastAsia" w:eastAsiaTheme="minorEastAsia"/>
                <w:sz w:val="24"/>
                <w:szCs w:val="24"/>
                <w:lang w:val="en-US" w:eastAsia="zh-CN"/>
              </w:rPr>
              <w:t>O</w:t>
            </w:r>
            <w:r>
              <w:rPr>
                <w:rFonts w:hAnsiTheme="minorEastAsia" w:eastAsiaTheme="minorEastAsia"/>
                <w:sz w:val="24"/>
                <w:szCs w:val="24"/>
              </w:rPr>
              <w:t>：</w:t>
            </w:r>
            <w:r>
              <w:rPr>
                <w:rFonts w:eastAsiaTheme="minorEastAsia"/>
                <w:sz w:val="24"/>
                <w:szCs w:val="24"/>
              </w:rPr>
              <w:t xml:space="preserve">5.3  </w:t>
            </w:r>
          </w:p>
        </w:tc>
        <w:tc>
          <w:tcPr>
            <w:tcW w:w="10004" w:type="dxa"/>
            <w:vAlign w:val="center"/>
          </w:tcPr>
          <w:p>
            <w:pPr>
              <w:spacing w:beforeLines="30" w:afterLines="30" w:line="360" w:lineRule="auto"/>
              <w:ind w:firstLine="480" w:firstLineChars="200"/>
              <w:rPr>
                <w:rFonts w:eastAsiaTheme="minorEastAsia"/>
                <w:color w:val="000000"/>
                <w:sz w:val="24"/>
                <w:szCs w:val="24"/>
              </w:rPr>
            </w:pPr>
            <w:r>
              <w:rPr>
                <w:rFonts w:hAnsiTheme="minorEastAsia" w:eastAsiaTheme="minor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应对风险和机会的措施</w:t>
            </w:r>
          </w:p>
        </w:tc>
        <w:tc>
          <w:tcPr>
            <w:tcW w:w="1311" w:type="dxa"/>
            <w:vAlign w:val="center"/>
          </w:tcPr>
          <w:p>
            <w:pPr>
              <w:spacing w:line="360" w:lineRule="auto"/>
              <w:rPr>
                <w:rFonts w:eastAsiaTheme="minorEastAsia"/>
                <w:sz w:val="24"/>
                <w:szCs w:val="24"/>
              </w:rPr>
            </w:pPr>
            <w:r>
              <w:rPr>
                <w:rFonts w:eastAsiaTheme="minorEastAsia"/>
                <w:sz w:val="24"/>
                <w:szCs w:val="24"/>
              </w:rPr>
              <w:t>Q</w:t>
            </w:r>
            <w:r>
              <w:rPr>
                <w:rFonts w:hAnsiTheme="minorEastAsia" w:eastAsiaTheme="minorEastAsia"/>
                <w:sz w:val="24"/>
                <w:szCs w:val="24"/>
              </w:rPr>
              <w:t>：</w:t>
            </w:r>
            <w:r>
              <w:rPr>
                <w:rFonts w:eastAsiaTheme="minorEastAsia"/>
                <w:sz w:val="24"/>
                <w:szCs w:val="24"/>
              </w:rPr>
              <w:t>6.1</w:t>
            </w:r>
          </w:p>
          <w:p>
            <w:pPr>
              <w:spacing w:line="360" w:lineRule="auto"/>
              <w:rPr>
                <w:rFonts w:eastAsiaTheme="minorEastAsia"/>
                <w:sz w:val="24"/>
                <w:szCs w:val="24"/>
              </w:rPr>
            </w:pPr>
            <w:r>
              <w:rPr>
                <w:rFonts w:eastAsiaTheme="minorEastAsia"/>
                <w:sz w:val="24"/>
                <w:szCs w:val="24"/>
              </w:rPr>
              <w:t>E</w:t>
            </w:r>
            <w:r>
              <w:rPr>
                <w:rFonts w:hint="eastAsia" w:eastAsiaTheme="minorEastAsia"/>
                <w:sz w:val="24"/>
                <w:szCs w:val="24"/>
                <w:lang w:val="en-US" w:eastAsia="zh-CN"/>
              </w:rPr>
              <w:t>O</w:t>
            </w:r>
            <w:r>
              <w:rPr>
                <w:rFonts w:hAnsiTheme="minorEastAsia" w:eastAsiaTheme="minorEastAsia"/>
                <w:sz w:val="24"/>
                <w:szCs w:val="24"/>
              </w:rPr>
              <w:t>：</w:t>
            </w:r>
            <w:r>
              <w:rPr>
                <w:rFonts w:eastAsiaTheme="minorEastAsia"/>
                <w:sz w:val="24"/>
                <w:szCs w:val="24"/>
              </w:rPr>
              <w:t xml:space="preserve"> 6.1.1</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目标和措施计划（管理方案）</w:t>
            </w:r>
          </w:p>
        </w:tc>
        <w:tc>
          <w:tcPr>
            <w:tcW w:w="1311" w:type="dxa"/>
            <w:vAlign w:val="center"/>
          </w:tcPr>
          <w:p>
            <w:pPr>
              <w:spacing w:line="360" w:lineRule="auto"/>
              <w:rPr>
                <w:rFonts w:eastAsiaTheme="minorEastAsia"/>
                <w:sz w:val="24"/>
                <w:szCs w:val="24"/>
              </w:rPr>
            </w:pPr>
            <w:r>
              <w:rPr>
                <w:rFonts w:eastAsiaTheme="minorEastAsia"/>
                <w:sz w:val="24"/>
                <w:szCs w:val="24"/>
              </w:rPr>
              <w:t>QE</w:t>
            </w:r>
            <w:r>
              <w:rPr>
                <w:rFonts w:hint="eastAsia" w:eastAsiaTheme="minorEastAsia"/>
                <w:sz w:val="24"/>
                <w:szCs w:val="24"/>
                <w:lang w:val="en-US" w:eastAsia="zh-CN"/>
              </w:rPr>
              <w:t>O</w:t>
            </w:r>
            <w:r>
              <w:rPr>
                <w:rFonts w:hAnsiTheme="minorEastAsia" w:eastAsiaTheme="minorEastAsia"/>
                <w:sz w:val="24"/>
                <w:szCs w:val="24"/>
              </w:rPr>
              <w:t>：</w:t>
            </w:r>
            <w:r>
              <w:rPr>
                <w:rFonts w:eastAsiaTheme="minorEastAsia"/>
                <w:sz w:val="24"/>
                <w:szCs w:val="24"/>
              </w:rPr>
              <w:t xml:space="preserve">6.2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beforeLines="30" w:afterLines="30" w:line="288" w:lineRule="auto"/>
              <w:ind w:firstLine="480" w:firstLineChars="200"/>
              <w:jc w:val="left"/>
              <w:rPr>
                <w:rFonts w:hAnsiTheme="minorEastAsia" w:eastAsiaTheme="minorEastAsia"/>
                <w:sz w:val="24"/>
                <w:szCs w:val="24"/>
              </w:rPr>
            </w:pPr>
            <w:r>
              <w:rPr>
                <w:rFonts w:hint="eastAsia" w:hAnsiTheme="minorEastAsia" w:eastAsiaTheme="minorEastAsia"/>
                <w:sz w:val="24"/>
                <w:szCs w:val="24"/>
              </w:rPr>
              <w:t>管理目标：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spacing w:line="360" w:lineRule="auto"/>
                    <w:rPr>
                      <w:color w:val="000000"/>
                      <w:szCs w:val="18"/>
                      <w:highlight w:val="none"/>
                    </w:rPr>
                  </w:pPr>
                  <w:r>
                    <w:rPr>
                      <w:rFonts w:hint="eastAsia" w:ascii="宋体" w:hAnsi="宋体"/>
                      <w:szCs w:val="21"/>
                      <w:highlight w:val="none"/>
                    </w:rPr>
                    <w:t>1.合同按时完成率100%</w:t>
                  </w:r>
                </w:p>
              </w:tc>
              <w:tc>
                <w:tcPr>
                  <w:tcW w:w="1387" w:type="dxa"/>
                  <w:vAlign w:val="center"/>
                </w:tcPr>
                <w:p>
                  <w:pPr>
                    <w:rPr>
                      <w:rFonts w:hint="eastAsia" w:eastAsia="宋体"/>
                      <w:color w:val="000000"/>
                      <w:szCs w:val="18"/>
                      <w:highlight w:val="none"/>
                      <w:lang w:val="en-US" w:eastAsia="zh-CN"/>
                    </w:rPr>
                  </w:pPr>
                  <w:r>
                    <w:rPr>
                      <w:rFonts w:hint="eastAsia"/>
                      <w:color w:val="000000"/>
                      <w:szCs w:val="18"/>
                      <w:highlight w:val="none"/>
                      <w:lang w:val="en-US" w:eastAsia="zh-CN"/>
                    </w:rPr>
                    <w:t>每月</w:t>
                  </w:r>
                </w:p>
              </w:tc>
              <w:tc>
                <w:tcPr>
                  <w:tcW w:w="3499" w:type="dxa"/>
                  <w:vAlign w:val="center"/>
                </w:tcPr>
                <w:p>
                  <w:pPr>
                    <w:rPr>
                      <w:color w:val="000000"/>
                      <w:szCs w:val="18"/>
                      <w:highlight w:val="none"/>
                    </w:rPr>
                  </w:pPr>
                  <w:r>
                    <w:rPr>
                      <w:rFonts w:hint="eastAsia" w:ascii="宋体" w:hAnsi="宋体"/>
                      <w:szCs w:val="21"/>
                      <w:highlight w:val="none"/>
                    </w:rPr>
                    <w:t>按时完成数÷合同总数</w:t>
                  </w:r>
                </w:p>
              </w:tc>
              <w:tc>
                <w:tcPr>
                  <w:tcW w:w="2444" w:type="dxa"/>
                </w:tcPr>
                <w:p>
                  <w:pPr>
                    <w:widowControl/>
                    <w:spacing w:before="40"/>
                    <w:jc w:val="left"/>
                    <w:rPr>
                      <w:color w:val="000000"/>
                      <w:szCs w:val="18"/>
                      <w:highlight w:val="none"/>
                    </w:rPr>
                  </w:pPr>
                  <w:r>
                    <w:rPr>
                      <w:rFonts w:hint="eastAsia" w:ascii="宋体" w:hAnsi="宋体"/>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spacing w:line="360" w:lineRule="auto"/>
                    <w:rPr>
                      <w:color w:val="000000"/>
                      <w:szCs w:val="18"/>
                      <w:highlight w:val="none"/>
                    </w:rPr>
                  </w:pPr>
                  <w:r>
                    <w:rPr>
                      <w:rFonts w:hint="eastAsia" w:ascii="宋体" w:hAnsi="宋体"/>
                      <w:szCs w:val="21"/>
                      <w:highlight w:val="none"/>
                      <w:lang w:val="en-US" w:eastAsia="zh-CN"/>
                    </w:rPr>
                    <w:t>2</w:t>
                  </w:r>
                  <w:r>
                    <w:rPr>
                      <w:rFonts w:hint="eastAsia" w:ascii="宋体" w:hAnsi="宋体"/>
                      <w:szCs w:val="21"/>
                      <w:highlight w:val="none"/>
                    </w:rPr>
                    <w:t>.顾客满意率≥95%</w:t>
                  </w:r>
                </w:p>
              </w:tc>
              <w:tc>
                <w:tcPr>
                  <w:tcW w:w="1387" w:type="dxa"/>
                  <w:vAlign w:val="center"/>
                </w:tcPr>
                <w:p>
                  <w:pPr>
                    <w:rPr>
                      <w:rFonts w:hint="eastAsia" w:eastAsia="宋体"/>
                      <w:color w:val="000000"/>
                      <w:szCs w:val="18"/>
                      <w:highlight w:val="none"/>
                      <w:lang w:val="en-US" w:eastAsia="zh-CN"/>
                    </w:rPr>
                  </w:pPr>
                  <w:r>
                    <w:rPr>
                      <w:rFonts w:hint="eastAsia"/>
                      <w:color w:val="000000"/>
                      <w:szCs w:val="18"/>
                      <w:highlight w:val="none"/>
                      <w:lang w:val="en-US" w:eastAsia="zh-CN"/>
                    </w:rPr>
                    <w:t>年度</w:t>
                  </w:r>
                </w:p>
              </w:tc>
              <w:tc>
                <w:tcPr>
                  <w:tcW w:w="3499" w:type="dxa"/>
                  <w:vAlign w:val="top"/>
                </w:tcPr>
                <w:p>
                  <w:pPr>
                    <w:rPr>
                      <w:color w:val="000000"/>
                      <w:szCs w:val="18"/>
                      <w:highlight w:val="none"/>
                    </w:rPr>
                  </w:pPr>
                  <w:r>
                    <w:rPr>
                      <w:rFonts w:hint="eastAsia" w:ascii="宋体" w:hAnsi="宋体"/>
                      <w:szCs w:val="21"/>
                      <w:highlight w:val="none"/>
                    </w:rPr>
                    <w:t>满意度实际得分÷应得总分</w:t>
                  </w:r>
                </w:p>
              </w:tc>
              <w:tc>
                <w:tcPr>
                  <w:tcW w:w="2444" w:type="dxa"/>
                </w:tcPr>
                <w:p>
                  <w:pPr>
                    <w:widowControl/>
                    <w:spacing w:before="40"/>
                    <w:jc w:val="left"/>
                    <w:rPr>
                      <w:color w:val="000000"/>
                      <w:szCs w:val="18"/>
                      <w:highlight w:val="none"/>
                    </w:rPr>
                  </w:pPr>
                  <w:r>
                    <w:rPr>
                      <w:rFonts w:hint="eastAsia" w:ascii="宋体" w:hAnsi="宋体"/>
                      <w:szCs w:val="21"/>
                      <w:highlight w:val="none"/>
                    </w:rPr>
                    <w:t xml:space="preserve"> 9</w:t>
                  </w:r>
                  <w:r>
                    <w:rPr>
                      <w:rFonts w:hint="eastAsia" w:ascii="宋体" w:hAnsi="宋体"/>
                      <w:szCs w:val="21"/>
                      <w:highlight w:val="none"/>
                      <w:lang w:val="en-US" w:eastAsia="zh-CN"/>
                    </w:rPr>
                    <w:t>7.5</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spacing w:line="360" w:lineRule="auto"/>
                    <w:rPr>
                      <w:color w:val="000000"/>
                      <w:szCs w:val="18"/>
                      <w:highlight w:val="none"/>
                    </w:rPr>
                  </w:pPr>
                  <w:r>
                    <w:rPr>
                      <w:rFonts w:hint="eastAsia" w:ascii="宋体" w:hAnsi="宋体"/>
                      <w:szCs w:val="21"/>
                      <w:highlight w:val="none"/>
                      <w:lang w:val="en-US" w:eastAsia="zh-CN"/>
                    </w:rPr>
                    <w:t>3</w:t>
                  </w:r>
                  <w:r>
                    <w:rPr>
                      <w:rFonts w:hint="eastAsia" w:ascii="宋体" w:hAnsi="宋体"/>
                      <w:szCs w:val="21"/>
                      <w:highlight w:val="none"/>
                    </w:rPr>
                    <w:t>.采购产品按时到货率100%</w:t>
                  </w:r>
                </w:p>
              </w:tc>
              <w:tc>
                <w:tcPr>
                  <w:tcW w:w="1387" w:type="dxa"/>
                  <w:vAlign w:val="center"/>
                </w:tcPr>
                <w:p>
                  <w:pPr>
                    <w:rPr>
                      <w:rFonts w:hint="eastAsia" w:eastAsia="宋体"/>
                      <w:color w:val="000000"/>
                      <w:szCs w:val="18"/>
                      <w:highlight w:val="none"/>
                      <w:lang w:val="en-US" w:eastAsia="zh-CN"/>
                    </w:rPr>
                  </w:pPr>
                  <w:r>
                    <w:rPr>
                      <w:rFonts w:hint="eastAsia"/>
                      <w:color w:val="000000"/>
                      <w:szCs w:val="18"/>
                      <w:highlight w:val="none"/>
                      <w:lang w:val="en-US" w:eastAsia="zh-CN"/>
                    </w:rPr>
                    <w:t>每月</w:t>
                  </w:r>
                </w:p>
              </w:tc>
              <w:tc>
                <w:tcPr>
                  <w:tcW w:w="3499" w:type="dxa"/>
                  <w:vAlign w:val="top"/>
                </w:tcPr>
                <w:p>
                  <w:pPr>
                    <w:rPr>
                      <w:color w:val="000000"/>
                      <w:szCs w:val="18"/>
                      <w:highlight w:val="none"/>
                    </w:rPr>
                  </w:pPr>
                  <w:r>
                    <w:rPr>
                      <w:rFonts w:hint="eastAsia" w:ascii="宋体" w:hAnsi="宋体"/>
                      <w:szCs w:val="21"/>
                      <w:highlight w:val="none"/>
                    </w:rPr>
                    <w:t>按时次数÷采购总数</w:t>
                  </w:r>
                </w:p>
              </w:tc>
              <w:tc>
                <w:tcPr>
                  <w:tcW w:w="2444" w:type="dxa"/>
                </w:tcPr>
                <w:p>
                  <w:pPr>
                    <w:widowControl/>
                    <w:spacing w:before="40"/>
                    <w:jc w:val="left"/>
                    <w:rPr>
                      <w:color w:val="000000"/>
                      <w:szCs w:val="18"/>
                      <w:highlight w:val="none"/>
                    </w:rPr>
                  </w:pPr>
                  <w:r>
                    <w:rPr>
                      <w:rFonts w:hint="eastAsia" w:ascii="宋体" w:hAnsi="宋体"/>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4.</w:t>
                  </w:r>
                  <w:r>
                    <w:rPr>
                      <w:rFonts w:hint="eastAsia" w:ascii="宋体" w:hAnsi="宋体" w:cs="宋体"/>
                      <w:kern w:val="0"/>
                      <w:sz w:val="24"/>
                      <w:highlight w:val="none"/>
                    </w:rPr>
                    <w:t>废弃物分类率100％</w:t>
                  </w:r>
                </w:p>
              </w:tc>
              <w:tc>
                <w:tcPr>
                  <w:tcW w:w="1387" w:type="dxa"/>
                </w:tcPr>
                <w:p>
                  <w:pPr>
                    <w:widowControl/>
                    <w:spacing w:before="40"/>
                    <w:jc w:val="left"/>
                    <w:rPr>
                      <w:rFonts w:hint="eastAsia" w:eastAsia="宋体"/>
                      <w:color w:val="000000"/>
                      <w:szCs w:val="18"/>
                      <w:highlight w:val="none"/>
                      <w:lang w:val="en-US" w:eastAsia="zh-CN"/>
                    </w:rPr>
                  </w:pPr>
                  <w:r>
                    <w:rPr>
                      <w:rFonts w:hint="eastAsia"/>
                      <w:color w:val="000000"/>
                      <w:szCs w:val="18"/>
                      <w:highlight w:val="none"/>
                      <w:lang w:val="en-US" w:eastAsia="zh-CN"/>
                    </w:rPr>
                    <w:t>每月</w:t>
                  </w:r>
                </w:p>
              </w:tc>
              <w:tc>
                <w:tcPr>
                  <w:tcW w:w="3499"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分类次数</w:t>
                  </w:r>
                  <w:r>
                    <w:rPr>
                      <w:rFonts w:hint="eastAsia" w:ascii="宋体" w:hAnsi="宋体"/>
                      <w:szCs w:val="21"/>
                      <w:highlight w:val="none"/>
                    </w:rPr>
                    <w:t>÷</w:t>
                  </w:r>
                  <w:r>
                    <w:rPr>
                      <w:rFonts w:hint="eastAsia" w:ascii="宋体" w:hAnsi="宋体"/>
                      <w:szCs w:val="21"/>
                      <w:highlight w:val="none"/>
                      <w:lang w:val="en-US" w:eastAsia="zh-CN"/>
                    </w:rPr>
                    <w:t>废弃物总数</w:t>
                  </w:r>
                </w:p>
              </w:tc>
              <w:tc>
                <w:tcPr>
                  <w:tcW w:w="2444"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jc w:val="both"/>
                    <w:rPr>
                      <w:rFonts w:hint="default" w:eastAsia="宋体"/>
                      <w:color w:val="000000"/>
                      <w:szCs w:val="18"/>
                      <w:highlight w:val="none"/>
                      <w:lang w:val="en-US" w:eastAsia="zh-CN"/>
                    </w:rPr>
                  </w:pPr>
                  <w:r>
                    <w:rPr>
                      <w:rFonts w:hint="eastAsia"/>
                      <w:color w:val="000000"/>
                      <w:szCs w:val="18"/>
                      <w:highlight w:val="none"/>
                      <w:lang w:val="en-US" w:eastAsia="zh-CN"/>
                    </w:rPr>
                    <w:t>5.</w:t>
                  </w:r>
                  <w:r>
                    <w:rPr>
                      <w:rFonts w:hint="eastAsia" w:ascii="宋体" w:hAnsi="宋体" w:cs="宋体"/>
                      <w:kern w:val="0"/>
                      <w:sz w:val="24"/>
                      <w:highlight w:val="none"/>
                    </w:rPr>
                    <w:t>火灾事故发生率为零</w:t>
                  </w:r>
                </w:p>
              </w:tc>
              <w:tc>
                <w:tcPr>
                  <w:tcW w:w="1387" w:type="dxa"/>
                </w:tcPr>
                <w:p>
                  <w:pPr>
                    <w:widowControl/>
                    <w:spacing w:before="40"/>
                    <w:jc w:val="left"/>
                    <w:rPr>
                      <w:rFonts w:hint="eastAsia" w:eastAsia="宋体"/>
                      <w:color w:val="000000"/>
                      <w:szCs w:val="18"/>
                      <w:highlight w:val="none"/>
                      <w:lang w:val="en-US" w:eastAsia="zh-CN"/>
                    </w:rPr>
                  </w:pPr>
                  <w:r>
                    <w:rPr>
                      <w:rFonts w:hint="eastAsia"/>
                      <w:color w:val="000000"/>
                      <w:szCs w:val="18"/>
                      <w:highlight w:val="none"/>
                      <w:lang w:val="en-US" w:eastAsia="zh-CN"/>
                    </w:rPr>
                    <w:t>每月</w:t>
                  </w:r>
                </w:p>
              </w:tc>
              <w:tc>
                <w:tcPr>
                  <w:tcW w:w="3499"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以实际发生为准</w:t>
                  </w:r>
                </w:p>
              </w:tc>
              <w:tc>
                <w:tcPr>
                  <w:tcW w:w="2444" w:type="dxa"/>
                </w:tcPr>
                <w:p>
                  <w:pPr>
                    <w:widowControl/>
                    <w:spacing w:before="40"/>
                    <w:jc w:val="left"/>
                    <w:rPr>
                      <w:rFonts w:hint="eastAsia" w:eastAsia="宋体"/>
                      <w:color w:val="000000"/>
                      <w:szCs w:val="18"/>
                      <w:highlight w:val="none"/>
                      <w:lang w:val="en-US" w:eastAsia="zh-CN"/>
                    </w:rPr>
                  </w:pPr>
                  <w:r>
                    <w:rPr>
                      <w:rFonts w:hint="eastAsia"/>
                      <w:color w:val="000000"/>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jc w:val="both"/>
                    <w:rPr>
                      <w:rFonts w:hint="default" w:eastAsia="宋体"/>
                      <w:color w:val="000000"/>
                      <w:szCs w:val="18"/>
                      <w:highlight w:val="none"/>
                      <w:lang w:val="en-US" w:eastAsia="zh-CN"/>
                    </w:rPr>
                  </w:pPr>
                  <w:r>
                    <w:rPr>
                      <w:rFonts w:hint="eastAsia"/>
                      <w:color w:val="000000"/>
                      <w:szCs w:val="18"/>
                      <w:highlight w:val="none"/>
                      <w:lang w:val="en-US" w:eastAsia="zh-CN"/>
                    </w:rPr>
                    <w:t>6.</w:t>
                  </w:r>
                  <w:r>
                    <w:rPr>
                      <w:rFonts w:hint="eastAsia" w:ascii="宋体" w:hAnsi="宋体" w:cs="宋体"/>
                      <w:kern w:val="0"/>
                      <w:sz w:val="24"/>
                      <w:highlight w:val="none"/>
                      <w:lang w:val="en-US" w:eastAsia="zh-CN"/>
                    </w:rPr>
                    <w:t xml:space="preserve"> 触电</w:t>
                  </w:r>
                  <w:r>
                    <w:rPr>
                      <w:rFonts w:hint="eastAsia" w:ascii="宋体" w:hAnsi="宋体" w:cs="宋体"/>
                      <w:kern w:val="0"/>
                      <w:sz w:val="24"/>
                      <w:highlight w:val="none"/>
                    </w:rPr>
                    <w:t>事故发生率为</w:t>
                  </w:r>
                </w:p>
              </w:tc>
              <w:tc>
                <w:tcPr>
                  <w:tcW w:w="1387" w:type="dxa"/>
                </w:tcPr>
                <w:p>
                  <w:pPr>
                    <w:widowControl/>
                    <w:spacing w:before="40"/>
                    <w:jc w:val="left"/>
                    <w:rPr>
                      <w:rFonts w:hint="eastAsia" w:eastAsia="宋体"/>
                      <w:color w:val="000000"/>
                      <w:szCs w:val="18"/>
                      <w:highlight w:val="none"/>
                      <w:lang w:val="en-US" w:eastAsia="zh-CN"/>
                    </w:rPr>
                  </w:pPr>
                  <w:r>
                    <w:rPr>
                      <w:rFonts w:hint="eastAsia"/>
                      <w:color w:val="000000"/>
                      <w:szCs w:val="18"/>
                      <w:highlight w:val="none"/>
                      <w:lang w:val="en-US" w:eastAsia="zh-CN"/>
                    </w:rPr>
                    <w:t>每月</w:t>
                  </w:r>
                </w:p>
              </w:tc>
              <w:tc>
                <w:tcPr>
                  <w:tcW w:w="3499" w:type="dxa"/>
                </w:tcPr>
                <w:p>
                  <w:pPr>
                    <w:widowControl/>
                    <w:spacing w:before="40"/>
                    <w:jc w:val="left"/>
                    <w:rPr>
                      <w:color w:val="000000"/>
                      <w:szCs w:val="18"/>
                      <w:highlight w:val="none"/>
                    </w:rPr>
                  </w:pPr>
                  <w:r>
                    <w:rPr>
                      <w:rFonts w:hint="eastAsia"/>
                      <w:color w:val="000000"/>
                      <w:szCs w:val="18"/>
                      <w:highlight w:val="none"/>
                      <w:lang w:val="en-US" w:eastAsia="zh-CN"/>
                    </w:rPr>
                    <w:t>以实际发生为准</w:t>
                  </w:r>
                </w:p>
              </w:tc>
              <w:tc>
                <w:tcPr>
                  <w:tcW w:w="2444" w:type="dxa"/>
                </w:tcPr>
                <w:p>
                  <w:pPr>
                    <w:widowControl/>
                    <w:spacing w:before="40"/>
                    <w:jc w:val="left"/>
                    <w:rPr>
                      <w:rFonts w:hint="eastAsia" w:eastAsia="宋体"/>
                      <w:color w:val="000000"/>
                      <w:szCs w:val="18"/>
                      <w:highlight w:val="none"/>
                      <w:lang w:val="en-US" w:eastAsia="zh-CN"/>
                    </w:rPr>
                  </w:pPr>
                  <w:r>
                    <w:rPr>
                      <w:rFonts w:hint="eastAsia"/>
                      <w:color w:val="000000"/>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none"/>
                    </w:rPr>
                  </w:pPr>
                </w:p>
              </w:tc>
              <w:tc>
                <w:tcPr>
                  <w:tcW w:w="1387" w:type="dxa"/>
                </w:tcPr>
                <w:p>
                  <w:pPr>
                    <w:widowControl/>
                    <w:spacing w:before="40"/>
                    <w:jc w:val="left"/>
                    <w:rPr>
                      <w:color w:val="000000"/>
                      <w:szCs w:val="18"/>
                      <w:highlight w:val="none"/>
                    </w:rPr>
                  </w:pPr>
                </w:p>
              </w:tc>
              <w:tc>
                <w:tcPr>
                  <w:tcW w:w="3499" w:type="dxa"/>
                </w:tcPr>
                <w:p>
                  <w:pPr>
                    <w:widowControl/>
                    <w:spacing w:before="40"/>
                    <w:jc w:val="left"/>
                    <w:rPr>
                      <w:color w:val="000000"/>
                      <w:szCs w:val="18"/>
                      <w:highlight w:val="none"/>
                    </w:rPr>
                  </w:pPr>
                </w:p>
              </w:tc>
              <w:tc>
                <w:tcPr>
                  <w:tcW w:w="2444" w:type="dxa"/>
                </w:tcPr>
                <w:p>
                  <w:pPr>
                    <w:widowControl/>
                    <w:spacing w:before="40"/>
                    <w:jc w:val="left"/>
                    <w:rPr>
                      <w:color w:val="000000"/>
                      <w:szCs w:val="18"/>
                      <w:highlight w:val="none"/>
                    </w:rPr>
                  </w:pPr>
                </w:p>
              </w:tc>
            </w:tr>
          </w:tbl>
          <w:p>
            <w:pPr>
              <w:spacing w:beforeLines="30" w:afterLines="30" w:line="288" w:lineRule="auto"/>
              <w:ind w:firstLine="480" w:firstLineChars="200"/>
              <w:jc w:val="left"/>
              <w:rPr>
                <w:rFonts w:eastAsiaTheme="minorEastAsia"/>
                <w:sz w:val="24"/>
                <w:szCs w:val="24"/>
              </w:rPr>
            </w:pPr>
            <w:r>
              <w:rPr>
                <w:rFonts w:hAnsiTheme="minorEastAsia" w:eastAsiaTheme="minorEastAsia"/>
                <w:sz w:val="24"/>
                <w:szCs w:val="24"/>
              </w:rPr>
              <w:t>组织</w:t>
            </w:r>
            <w:r>
              <w:rPr>
                <w:rFonts w:hAnsiTheme="minorEastAsia" w:eastAsiaTheme="minorEastAsia"/>
                <w:color w:val="000000"/>
                <w:sz w:val="24"/>
                <w:szCs w:val="24"/>
              </w:rPr>
              <w:t>对公司质量、环境、职业健康安全目标、指标予以分解，并在相关职能层次部门建立分目标，查见《质量</w:t>
            </w:r>
            <w:r>
              <w:rPr>
                <w:rFonts w:eastAsiaTheme="minorEastAsia"/>
                <w:color w:val="000000"/>
                <w:sz w:val="24"/>
                <w:szCs w:val="24"/>
              </w:rPr>
              <w:t>\</w:t>
            </w:r>
            <w:r>
              <w:rPr>
                <w:rFonts w:hAnsiTheme="minorEastAsia" w:eastAsiaTheme="minorEastAsia"/>
                <w:color w:val="000000"/>
                <w:sz w:val="24"/>
                <w:szCs w:val="24"/>
              </w:rPr>
              <w:t>环境</w:t>
            </w:r>
            <w:r>
              <w:rPr>
                <w:rFonts w:eastAsiaTheme="minorEastAsia"/>
                <w:color w:val="000000"/>
                <w:sz w:val="24"/>
                <w:szCs w:val="24"/>
              </w:rPr>
              <w:t>\</w:t>
            </w:r>
            <w:r>
              <w:rPr>
                <w:rFonts w:hAnsiTheme="minorEastAsia" w:eastAsiaTheme="minorEastAsia"/>
                <w:color w:val="000000"/>
                <w:sz w:val="24"/>
                <w:szCs w:val="24"/>
              </w:rPr>
              <w:t>职业健康安全目标分解考核表》，</w:t>
            </w:r>
            <w:r>
              <w:rPr>
                <w:rFonts w:eastAsiaTheme="minorEastAsia"/>
                <w:color w:val="000000"/>
                <w:sz w:val="24"/>
                <w:szCs w:val="24"/>
              </w:rPr>
              <w:t>202</w:t>
            </w:r>
            <w:r>
              <w:rPr>
                <w:rFonts w:hint="eastAsia" w:eastAsiaTheme="minorEastAsia"/>
                <w:color w:val="000000"/>
                <w:sz w:val="24"/>
                <w:szCs w:val="24"/>
                <w:lang w:val="en-US" w:eastAsia="zh-CN"/>
              </w:rPr>
              <w:t>2.3</w:t>
            </w:r>
            <w:r>
              <w:rPr>
                <w:rFonts w:hAnsiTheme="minorEastAsia" w:eastAsiaTheme="minorEastAsia"/>
                <w:color w:val="000000"/>
                <w:sz w:val="24"/>
                <w:szCs w:val="24"/>
              </w:rPr>
              <w:t>完成情况：</w:t>
            </w:r>
            <w:r>
              <w:rPr>
                <w:rFonts w:hint="eastAsia" w:hAnsiTheme="minorEastAsia" w:eastAsiaTheme="minorEastAsia"/>
                <w:color w:val="000000"/>
                <w:sz w:val="24"/>
                <w:szCs w:val="24"/>
                <w:lang w:val="en-US" w:eastAsia="zh-CN"/>
              </w:rPr>
              <w:t>全部完成。</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变更的策划</w:t>
            </w:r>
          </w:p>
        </w:tc>
        <w:tc>
          <w:tcPr>
            <w:tcW w:w="1311" w:type="dxa"/>
            <w:vAlign w:val="center"/>
          </w:tcPr>
          <w:p>
            <w:pPr>
              <w:spacing w:line="360" w:lineRule="auto"/>
              <w:rPr>
                <w:rFonts w:eastAsiaTheme="minorEastAsia"/>
                <w:sz w:val="24"/>
                <w:szCs w:val="24"/>
              </w:rPr>
            </w:pPr>
            <w:r>
              <w:rPr>
                <w:rFonts w:eastAsiaTheme="minorEastAsia"/>
                <w:sz w:val="24"/>
                <w:szCs w:val="24"/>
              </w:rPr>
              <w:t>Q</w:t>
            </w:r>
            <w:r>
              <w:rPr>
                <w:rFonts w:hAnsiTheme="minorEastAsia" w:eastAsiaTheme="minorEastAsia"/>
                <w:sz w:val="24"/>
                <w:szCs w:val="24"/>
              </w:rPr>
              <w:t>：</w:t>
            </w:r>
            <w:r>
              <w:rPr>
                <w:rFonts w:eastAsiaTheme="minorEastAsia"/>
                <w:sz w:val="24"/>
                <w:szCs w:val="24"/>
              </w:rPr>
              <w:t>6.3</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总经理介绍变更时应考虑到：变更目的及其潜在后果；管理体系的完整性；资源的可获得性；责任和权限的分配或再分配。并要求对变更管理体系应进行评审，确保文件的适宜性，经批准后发布实施。</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09" w:type="dxa"/>
            <w:vAlign w:val="center"/>
          </w:tcPr>
          <w:p>
            <w:pPr>
              <w:spacing w:line="480" w:lineRule="exact"/>
              <w:rPr>
                <w:rFonts w:eastAsiaTheme="minorEastAsia"/>
                <w:sz w:val="24"/>
                <w:szCs w:val="24"/>
              </w:rPr>
            </w:pPr>
            <w:r>
              <w:rPr>
                <w:rFonts w:hAnsiTheme="minorEastAsia" w:eastAsiaTheme="minorEastAsia"/>
                <w:sz w:val="24"/>
                <w:szCs w:val="24"/>
              </w:rPr>
              <w:t>资源</w:t>
            </w:r>
          </w:p>
        </w:tc>
        <w:tc>
          <w:tcPr>
            <w:tcW w:w="1311" w:type="dxa"/>
            <w:vAlign w:val="center"/>
          </w:tcPr>
          <w:p>
            <w:pPr>
              <w:spacing w:line="480" w:lineRule="exact"/>
              <w:rPr>
                <w:rFonts w:eastAsiaTheme="minorEastAsia"/>
                <w:sz w:val="24"/>
                <w:szCs w:val="24"/>
              </w:rPr>
            </w:pPr>
            <w:r>
              <w:rPr>
                <w:rFonts w:eastAsiaTheme="minorEastAsia"/>
                <w:sz w:val="24"/>
                <w:szCs w:val="24"/>
              </w:rPr>
              <w:t>Q</w:t>
            </w:r>
            <w:r>
              <w:rPr>
                <w:rFonts w:hAnsiTheme="minorEastAsia" w:eastAsiaTheme="minorEastAsia"/>
                <w:sz w:val="24"/>
                <w:szCs w:val="24"/>
              </w:rPr>
              <w:t>：</w:t>
            </w:r>
            <w:r>
              <w:rPr>
                <w:rFonts w:eastAsiaTheme="minorEastAsia"/>
                <w:sz w:val="24"/>
                <w:szCs w:val="24"/>
              </w:rPr>
              <w:t>7.1.1</w:t>
            </w:r>
          </w:p>
          <w:p>
            <w:pPr>
              <w:spacing w:line="480" w:lineRule="exact"/>
              <w:rPr>
                <w:rFonts w:eastAsiaTheme="minorEastAsia"/>
                <w:sz w:val="24"/>
                <w:szCs w:val="24"/>
              </w:rPr>
            </w:pPr>
            <w:r>
              <w:rPr>
                <w:rFonts w:eastAsiaTheme="minorEastAsia"/>
                <w:sz w:val="24"/>
                <w:szCs w:val="24"/>
              </w:rPr>
              <w:t>E</w:t>
            </w:r>
            <w:r>
              <w:rPr>
                <w:rFonts w:hint="eastAsia" w:eastAsiaTheme="minorEastAsia"/>
                <w:sz w:val="24"/>
                <w:szCs w:val="24"/>
                <w:lang w:val="en-US" w:eastAsia="zh-CN"/>
              </w:rPr>
              <w:t>O</w:t>
            </w:r>
            <w:r>
              <w:rPr>
                <w:rFonts w:hAnsiTheme="minorEastAsia" w:eastAsiaTheme="minorEastAsia"/>
                <w:sz w:val="24"/>
                <w:szCs w:val="24"/>
              </w:rPr>
              <w:t>：</w:t>
            </w:r>
            <w:r>
              <w:rPr>
                <w:rFonts w:eastAsiaTheme="minorEastAsia"/>
                <w:sz w:val="24"/>
                <w:szCs w:val="24"/>
              </w:rPr>
              <w:t>7.1</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总经理主持了今年的管理评审，对方针、目标的适宜性进行了评审，协助管代进行了内审，确保所需资源得到满足。</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为确保公司环保、安全资金得得以保障，公司每年制定专门预算，及时提供有关资金，确保本公司各项资金及时到位，保证环保、安全活动得到实施，达到预防污染、安全第一的活动目的。</w:t>
            </w:r>
            <w:r>
              <w:rPr>
                <w:rFonts w:hint="eastAsia" w:hAnsiTheme="minorEastAsia" w:eastAsiaTheme="minorEastAsia"/>
                <w:sz w:val="24"/>
                <w:szCs w:val="24"/>
              </w:rPr>
              <w:t>通过观察组织的办公设备有台式电脑、办公桌椅、投影仪、打印机、固定电话、搬运手推车等。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通过现场观察及与领导沟通了解到，公司为确保管理体系的有效运行和持续改进，确保满足顾客要求，增强顾客满意，确定并提供了必要的资源，经过管理体系运行证明，现有资源可满足体系和产品的要求。</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公司目前的基础设施，能够满足当前三体系的要求。公司将依据经营发展的需要，会不断补充与增加。</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09" w:type="dxa"/>
            <w:vAlign w:val="center"/>
          </w:tcPr>
          <w:p>
            <w:pPr>
              <w:spacing w:line="480" w:lineRule="exact"/>
              <w:rPr>
                <w:rFonts w:eastAsiaTheme="minorEastAsia"/>
                <w:sz w:val="24"/>
                <w:szCs w:val="24"/>
              </w:rPr>
            </w:pPr>
            <w:r>
              <w:rPr>
                <w:rFonts w:hAnsiTheme="minorEastAsia" w:eastAsiaTheme="minorEastAsia"/>
                <w:sz w:val="24"/>
                <w:szCs w:val="24"/>
              </w:rPr>
              <w:t>信息交流、沟通、</w:t>
            </w:r>
          </w:p>
          <w:p>
            <w:pPr>
              <w:spacing w:line="480" w:lineRule="exact"/>
              <w:rPr>
                <w:rFonts w:eastAsiaTheme="minorEastAsia"/>
                <w:sz w:val="24"/>
                <w:szCs w:val="24"/>
              </w:rPr>
            </w:pPr>
            <w:r>
              <w:rPr>
                <w:rFonts w:hAnsiTheme="minorEastAsia" w:eastAsiaTheme="minorEastAsia"/>
                <w:sz w:val="24"/>
                <w:szCs w:val="24"/>
              </w:rPr>
              <w:t>协商与参与、安全事务代表</w:t>
            </w:r>
          </w:p>
        </w:tc>
        <w:tc>
          <w:tcPr>
            <w:tcW w:w="1311" w:type="dxa"/>
            <w:vAlign w:val="center"/>
          </w:tcPr>
          <w:p>
            <w:pPr>
              <w:spacing w:line="480" w:lineRule="exact"/>
              <w:rPr>
                <w:rFonts w:eastAsiaTheme="minorEastAsia"/>
                <w:sz w:val="24"/>
                <w:szCs w:val="24"/>
              </w:rPr>
            </w:pPr>
            <w:r>
              <w:rPr>
                <w:rFonts w:eastAsiaTheme="minorEastAsia"/>
                <w:sz w:val="24"/>
                <w:szCs w:val="24"/>
              </w:rPr>
              <w:t>Q</w:t>
            </w:r>
            <w:r>
              <w:rPr>
                <w:rFonts w:hint="eastAsia" w:eastAsiaTheme="minorEastAsia"/>
                <w:sz w:val="24"/>
                <w:szCs w:val="24"/>
                <w:lang w:val="en-US" w:eastAsia="zh-CN"/>
              </w:rPr>
              <w:t>EO</w:t>
            </w:r>
            <w:r>
              <w:rPr>
                <w:rFonts w:hAnsiTheme="minorEastAsia" w:eastAsiaTheme="minorEastAsia"/>
                <w:sz w:val="24"/>
                <w:szCs w:val="24"/>
              </w:rPr>
              <w:t>：</w:t>
            </w:r>
            <w:r>
              <w:rPr>
                <w:rFonts w:eastAsiaTheme="minorEastAsia"/>
                <w:sz w:val="24"/>
                <w:szCs w:val="24"/>
              </w:rPr>
              <w:t xml:space="preserve">7.4  </w:t>
            </w:r>
          </w:p>
          <w:p>
            <w:pPr>
              <w:spacing w:line="480" w:lineRule="exact"/>
              <w:rPr>
                <w:rFonts w:eastAsiaTheme="minorEastAsia"/>
                <w:sz w:val="24"/>
                <w:szCs w:val="24"/>
              </w:rPr>
            </w:pP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组织在各部门之间建立了与体系有关的信息通渠沟道，借助于会议、电话、口头交流等方式使全体员工达到沟通和理解。目前各部门协调一致，工作基本理顺。</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w:t>
            </w:r>
            <w:r>
              <w:rPr>
                <w:rFonts w:hint="eastAsia" w:hAnsiTheme="minorEastAsia" w:eastAsiaTheme="minorEastAsia"/>
                <w:sz w:val="24"/>
                <w:szCs w:val="24"/>
                <w:lang w:val="en-US" w:eastAsia="zh-CN"/>
              </w:rPr>
              <w:t>高彩红</w:t>
            </w:r>
            <w:r>
              <w:rPr>
                <w:rFonts w:hAnsiTheme="minorEastAsia" w:eastAsiaTheme="minorEastAsia"/>
                <w:sz w:val="24"/>
                <w:szCs w:val="24"/>
              </w:rPr>
              <w:t>定期主持经营办公例会，分析公司的发展、市场情况和体系运行是否有效，管理目标完成情况，满足顾客要求和法规程度，改进建议等内部管理存在问题等。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w:t>
            </w:r>
            <w:r>
              <w:rPr>
                <w:rFonts w:hint="eastAsia" w:hAnsiTheme="minorEastAsia" w:eastAsiaTheme="minorEastAsia"/>
                <w:sz w:val="24"/>
                <w:szCs w:val="24"/>
                <w:lang w:val="en-US" w:eastAsia="zh-CN"/>
              </w:rPr>
              <w:t>高彩红</w:t>
            </w:r>
            <w:r>
              <w:rPr>
                <w:rFonts w:hAnsiTheme="minorEastAsia" w:eastAsiaTheme="minorEastAsia"/>
                <w:sz w:val="24"/>
                <w:szCs w:val="24"/>
              </w:rPr>
              <w:t>为协商、参与提供了时间、机会、培训、资源等保障，明确了沟通、协商、参与渠道，消除了障碍和壁垒。</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管代</w:t>
            </w:r>
            <w:r>
              <w:rPr>
                <w:rFonts w:hint="eastAsia" w:hAnsiTheme="minorEastAsia" w:eastAsiaTheme="minorEastAsia"/>
                <w:sz w:val="24"/>
                <w:szCs w:val="24"/>
                <w:lang w:val="en-US" w:eastAsia="zh-CN"/>
              </w:rPr>
              <w:t>张志坤</w:t>
            </w:r>
            <w:r>
              <w:rPr>
                <w:rFonts w:hAnsiTheme="minorEastAsia" w:eastAsiaTheme="minorEastAsia"/>
                <w:sz w:val="24"/>
                <w:szCs w:val="24"/>
              </w:rPr>
              <w:t>介绍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现场查见会议记录、通知通报、培训记录、文件签收等组织内部培训方式相关记录。</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经交流：目前与环保、劳动、消防、安监部门的信息交流主要是参加会议、接收来文、电话、邮件等，均按要求予以传达和落实，沟通情况较好。</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相关人员能够适当参与并协商办理公司经营管理及安全事务等工作。</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公司经选举确定职业健康安全事务代表是</w:t>
            </w:r>
            <w:r>
              <w:rPr>
                <w:rFonts w:hint="eastAsia" w:hAnsiTheme="minorEastAsia" w:eastAsiaTheme="minorEastAsia"/>
                <w:sz w:val="24"/>
                <w:szCs w:val="24"/>
                <w:lang w:val="en-US" w:eastAsia="zh-CN"/>
              </w:rPr>
              <w:t>徐兰英</w:t>
            </w:r>
            <w:r>
              <w:rPr>
                <w:rFonts w:hAnsiTheme="minorEastAsia" w:eastAsiaTheme="minorEastAsia"/>
                <w:sz w:val="24"/>
                <w:szCs w:val="24"/>
              </w:rPr>
              <w:t>，其主要职责为</w:t>
            </w:r>
            <w:r>
              <w:rPr>
                <w:rFonts w:eastAsiaTheme="minorEastAsia"/>
                <w:sz w:val="24"/>
                <w:szCs w:val="24"/>
              </w:rPr>
              <w:t>a</w:t>
            </w:r>
            <w:r>
              <w:rPr>
                <w:rFonts w:hAnsiTheme="minorEastAsia" w:eastAsiaTheme="minorEastAsia"/>
                <w:sz w:val="24"/>
                <w:szCs w:val="24"/>
              </w:rPr>
              <w:t>）负责职工代表大会的日常工作，检查、督促职工代表大会决议的执行；</w:t>
            </w:r>
            <w:r>
              <w:rPr>
                <w:rFonts w:eastAsiaTheme="minorEastAsia"/>
                <w:sz w:val="24"/>
                <w:szCs w:val="24"/>
              </w:rPr>
              <w:t>b</w:t>
            </w:r>
            <w:r>
              <w:rPr>
                <w:rFonts w:hAnsiTheme="minorEastAsia" w:eastAsiaTheme="minorEastAsia"/>
                <w:sz w:val="24"/>
                <w:szCs w:val="24"/>
              </w:rPr>
              <w:t>）负责召开讨论有关工资、福利、劳动安全卫生、社会保险等涉及职工切身利益的会议，代表员工反映员工的建议和意见；</w:t>
            </w:r>
            <w:r>
              <w:rPr>
                <w:rFonts w:eastAsiaTheme="minorEastAsia"/>
                <w:sz w:val="24"/>
                <w:szCs w:val="24"/>
              </w:rPr>
              <w:t>c</w:t>
            </w:r>
            <w:r>
              <w:rPr>
                <w:rFonts w:hAnsiTheme="minorEastAsia" w:eastAsiaTheme="minorEastAsia"/>
                <w:sz w:val="24"/>
                <w:szCs w:val="24"/>
              </w:rPr>
              <w:t>）接收、处理外部职业健康安全信息；</w:t>
            </w:r>
            <w:r>
              <w:rPr>
                <w:rFonts w:eastAsiaTheme="minorEastAsia"/>
                <w:sz w:val="24"/>
                <w:szCs w:val="24"/>
              </w:rPr>
              <w:t>d</w:t>
            </w:r>
            <w:r>
              <w:rPr>
                <w:rFonts w:hAnsiTheme="minorEastAsia" w:eastAsiaTheme="minorEastAsia"/>
                <w:sz w:val="24"/>
                <w:szCs w:val="24"/>
              </w:rPr>
              <w:t>）收集、处理和反馈员工所关心的职业健康安全问题；</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由于公司福利待遇正常发放，员工无抱怨，目前信息交流机制畅通。</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现有的沟通渠道和方法能满足要求。审核中未发现因沟通不利不及时而造成（影响）某项工作不能正常运行的情况。</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管理评审</w:t>
            </w:r>
          </w:p>
        </w:tc>
        <w:tc>
          <w:tcPr>
            <w:tcW w:w="1311" w:type="dxa"/>
            <w:vAlign w:val="center"/>
          </w:tcPr>
          <w:p>
            <w:pPr>
              <w:spacing w:line="360" w:lineRule="auto"/>
              <w:rPr>
                <w:rFonts w:eastAsiaTheme="minorEastAsia"/>
                <w:sz w:val="24"/>
                <w:szCs w:val="24"/>
              </w:rPr>
            </w:pPr>
            <w:r>
              <w:rPr>
                <w:rFonts w:eastAsiaTheme="minorEastAsia"/>
                <w:sz w:val="24"/>
                <w:szCs w:val="24"/>
              </w:rPr>
              <w:t>QE</w:t>
            </w:r>
            <w:r>
              <w:rPr>
                <w:rFonts w:hint="eastAsia" w:eastAsiaTheme="minorEastAsia"/>
                <w:sz w:val="24"/>
                <w:szCs w:val="24"/>
                <w:lang w:val="en-US" w:eastAsia="zh-CN"/>
              </w:rPr>
              <w:t>O</w:t>
            </w:r>
            <w:r>
              <w:rPr>
                <w:rFonts w:hAnsiTheme="minorEastAsia" w:eastAsiaTheme="minorEastAsia"/>
                <w:sz w:val="24"/>
                <w:szCs w:val="24"/>
              </w:rPr>
              <w:t>：</w:t>
            </w:r>
            <w:r>
              <w:rPr>
                <w:rFonts w:eastAsiaTheme="minorEastAsia"/>
                <w:sz w:val="24"/>
                <w:szCs w:val="24"/>
              </w:rPr>
              <w:t xml:space="preserve">9.3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查看《管理评审程序》，基本符合要求。</w:t>
            </w:r>
            <w:r>
              <w:rPr>
                <w:rFonts w:eastAsiaTheme="minorEastAsia"/>
                <w:sz w:val="24"/>
                <w:szCs w:val="24"/>
              </w:rPr>
              <w:t>202</w:t>
            </w:r>
            <w:r>
              <w:rPr>
                <w:rFonts w:hint="eastAsia" w:eastAsiaTheme="minorEastAsia"/>
                <w:sz w:val="24"/>
                <w:szCs w:val="24"/>
                <w:lang w:val="en-US" w:eastAsia="zh-CN"/>
              </w:rPr>
              <w:t>1</w:t>
            </w:r>
            <w:r>
              <w:rPr>
                <w:rFonts w:eastAsiaTheme="minorEastAsia"/>
                <w:sz w:val="24"/>
                <w:szCs w:val="24"/>
              </w:rPr>
              <w:t>.</w:t>
            </w:r>
            <w:r>
              <w:rPr>
                <w:rFonts w:hint="eastAsia" w:eastAsiaTheme="minorEastAsia"/>
                <w:sz w:val="24"/>
                <w:szCs w:val="24"/>
                <w:lang w:val="en-US" w:eastAsia="zh-CN"/>
              </w:rPr>
              <w:t>12</w:t>
            </w:r>
            <w:r>
              <w:rPr>
                <w:rFonts w:eastAsiaTheme="minorEastAsia"/>
                <w:sz w:val="24"/>
                <w:szCs w:val="24"/>
              </w:rPr>
              <w:t>.</w:t>
            </w:r>
            <w:r>
              <w:rPr>
                <w:rFonts w:hint="eastAsia" w:eastAsiaTheme="minorEastAsia"/>
                <w:sz w:val="24"/>
                <w:szCs w:val="24"/>
              </w:rPr>
              <w:t>30</w:t>
            </w:r>
            <w:r>
              <w:rPr>
                <w:rFonts w:hAnsiTheme="minorEastAsia" w:eastAsiaTheme="minorEastAsia"/>
                <w:sz w:val="24"/>
                <w:szCs w:val="24"/>
              </w:rPr>
              <w:t>日进行了管理评审。</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查看</w:t>
            </w:r>
            <w:r>
              <w:rPr>
                <w:rFonts w:eastAsiaTheme="minorEastAsia"/>
                <w:sz w:val="24"/>
                <w:szCs w:val="24"/>
              </w:rPr>
              <w:t>“</w:t>
            </w:r>
            <w:r>
              <w:rPr>
                <w:rFonts w:hAnsiTheme="minorEastAsia" w:eastAsiaTheme="minorEastAsia"/>
                <w:sz w:val="24"/>
                <w:szCs w:val="24"/>
              </w:rPr>
              <w:t>管理评审计划</w:t>
            </w:r>
            <w:r>
              <w:rPr>
                <w:rFonts w:eastAsiaTheme="minorEastAsia"/>
                <w:sz w:val="24"/>
                <w:szCs w:val="24"/>
              </w:rPr>
              <w:t>”</w:t>
            </w:r>
            <w:r>
              <w:rPr>
                <w:rFonts w:hAnsiTheme="minorEastAsia" w:eastAsiaTheme="minorEastAsia"/>
                <w:sz w:val="24"/>
                <w:szCs w:val="24"/>
              </w:rPr>
              <w:t>，由</w:t>
            </w:r>
            <w:r>
              <w:rPr>
                <w:rFonts w:hint="eastAsia" w:hAnsiTheme="minorEastAsia" w:eastAsiaTheme="minorEastAsia"/>
                <w:sz w:val="24"/>
                <w:szCs w:val="24"/>
                <w:lang w:val="en-US" w:eastAsia="zh-CN"/>
              </w:rPr>
              <w:t>高彩红</w:t>
            </w:r>
            <w:r>
              <w:rPr>
                <w:rFonts w:hAnsiTheme="minorEastAsia" w:eastAsiaTheme="minorEastAsia"/>
                <w:sz w:val="24"/>
                <w:szCs w:val="24"/>
              </w:rPr>
              <w:t>签发；内容包括；评审目的、评审时间、参加部门人员、评审输入内容等。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管理评审输入</w:t>
            </w:r>
            <w:r>
              <w:rPr>
                <w:rFonts w:eastAsiaTheme="minorEastAsia"/>
                <w:sz w:val="24"/>
                <w:szCs w:val="24"/>
              </w:rPr>
              <w:t>:</w:t>
            </w:r>
            <w:r>
              <w:rPr>
                <w:rFonts w:hAnsiTheme="minorEastAsia" w:eastAsiaTheme="minorEastAsia"/>
                <w:sz w:val="24"/>
                <w:szCs w:val="24"/>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管理评审输出：</w:t>
            </w:r>
          </w:p>
          <w:p>
            <w:pPr>
              <w:spacing w:beforeLines="30" w:afterLines="30" w:line="288" w:lineRule="auto"/>
              <w:ind w:firstLine="480" w:firstLineChars="200"/>
              <w:rPr>
                <w:rFonts w:hint="eastAsia" w:eastAsiaTheme="minorEastAsia"/>
                <w:color w:val="000000"/>
                <w:sz w:val="24"/>
                <w:szCs w:val="24"/>
                <w:lang w:eastAsia="zh-CN"/>
              </w:rPr>
            </w:pPr>
            <w:r>
              <w:rPr>
                <w:rFonts w:hAnsiTheme="minorEastAsia" w:eastAsiaTheme="minorEastAsia"/>
                <w:sz w:val="24"/>
                <w:szCs w:val="24"/>
              </w:rPr>
              <w:t>查看了总经理批准的</w:t>
            </w:r>
            <w:r>
              <w:rPr>
                <w:rFonts w:eastAsiaTheme="minorEastAsia"/>
                <w:sz w:val="24"/>
                <w:szCs w:val="24"/>
              </w:rPr>
              <w:t>“</w:t>
            </w:r>
            <w:r>
              <w:rPr>
                <w:rFonts w:hAnsiTheme="minorEastAsia" w:eastAsiaTheme="minorEastAsia"/>
                <w:sz w:val="24"/>
                <w:szCs w:val="24"/>
              </w:rPr>
              <w:t>管理评审报告</w:t>
            </w:r>
            <w:r>
              <w:rPr>
                <w:rFonts w:eastAsiaTheme="minorEastAsia"/>
                <w:sz w:val="24"/>
                <w:szCs w:val="24"/>
              </w:rPr>
              <w:t>”</w:t>
            </w:r>
            <w:r>
              <w:rPr>
                <w:rFonts w:hAnsiTheme="minorEastAsia" w:eastAsiaTheme="minorEastAsia"/>
                <w:sz w:val="24"/>
                <w:szCs w:val="24"/>
              </w:rPr>
              <w:t>，对公司体系文件的符合性，国家、地方及行业相关法规、标准的执行情况，风险和机遇的应对情况，产品质量情况，内审实施情况、相关方投诉情况、管理目标完成情况、管理体系的适宜性、有效性、充分性做出了评价。评审结论：</w:t>
            </w:r>
            <w:r>
              <w:rPr>
                <w:rFonts w:hint="eastAsia" w:hAnsiTheme="minorEastAsia" w:eastAsiaTheme="minorEastAsia"/>
                <w:sz w:val="24"/>
                <w:szCs w:val="24"/>
              </w:rPr>
              <w:t>自体系建立以来，公司的质量管理体系运行全面展开，通过新版的运行，收到良好的效果，经评审认为本公司的质量管理体系的建立和运行是充分的、适宜的、有效的。已具备了认证审核的条件</w:t>
            </w:r>
            <w:r>
              <w:rPr>
                <w:rFonts w:hAnsiTheme="minorEastAsia" w:eastAsiaTheme="minorEastAsia"/>
                <w:sz w:val="24"/>
                <w:szCs w:val="24"/>
              </w:rPr>
              <w:t>。提出了</w:t>
            </w:r>
            <w:r>
              <w:rPr>
                <w:rFonts w:hint="eastAsia" w:hAnsiTheme="minorEastAsia" w:eastAsiaTheme="minorEastAsia"/>
                <w:sz w:val="24"/>
                <w:szCs w:val="24"/>
                <w:lang w:val="en-US" w:eastAsia="zh-CN"/>
              </w:rPr>
              <w:t>1</w:t>
            </w:r>
            <w:r>
              <w:rPr>
                <w:rFonts w:hAnsiTheme="minorEastAsia" w:eastAsiaTheme="minorEastAsia"/>
                <w:sz w:val="24"/>
                <w:szCs w:val="24"/>
              </w:rPr>
              <w:t>项改进措施</w:t>
            </w:r>
            <w:r>
              <w:rPr>
                <w:rFonts w:eastAsiaTheme="minorEastAsia"/>
                <w:sz w:val="24"/>
                <w:szCs w:val="24"/>
              </w:rPr>
              <w:t>:</w:t>
            </w:r>
            <w:r>
              <w:rPr>
                <w:rFonts w:hint="eastAsia" w:ascii="宋体" w:hAnsi="宋体" w:eastAsia="宋体" w:cs="Times New Roman"/>
                <w:sz w:val="24"/>
                <w:szCs w:val="24"/>
                <w:lang w:val="en-US" w:eastAsia="zh-CN"/>
              </w:rPr>
              <w:t>积极响应国家号召，组织全体员工接种新冠疫苗</w:t>
            </w:r>
            <w:r>
              <w:rPr>
                <w:rFonts w:hint="eastAsia" w:ascii="宋体" w:hAnsi="宋体" w:eastAsia="宋体" w:cs="Times New Roman"/>
                <w:sz w:val="24"/>
                <w:szCs w:val="24"/>
              </w:rPr>
              <w:t>，</w:t>
            </w:r>
            <w:r>
              <w:rPr>
                <w:rFonts w:hint="eastAsia" w:ascii="宋体" w:hAnsi="宋体" w:eastAsia="宋体" w:cs="Times New Roman"/>
                <w:sz w:val="24"/>
                <w:szCs w:val="24"/>
                <w:lang w:eastAsia="zh-CN"/>
              </w:rPr>
              <w:t>202</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12</w:t>
            </w:r>
            <w:r>
              <w:rPr>
                <w:rFonts w:hint="eastAsia" w:ascii="宋体" w:hAnsi="宋体" w:eastAsia="宋体" w:cs="Times New Roman"/>
                <w:sz w:val="24"/>
                <w:szCs w:val="24"/>
              </w:rPr>
              <w:t>月底前完成。</w:t>
            </w:r>
          </w:p>
          <w:p>
            <w:pPr>
              <w:spacing w:beforeLines="30" w:afterLines="30" w:line="288" w:lineRule="auto"/>
              <w:ind w:firstLine="480" w:firstLineChars="200"/>
              <w:rPr>
                <w:rFonts w:hint="eastAsia" w:eastAsiaTheme="minorEastAsia"/>
                <w:sz w:val="24"/>
                <w:szCs w:val="24"/>
                <w:lang w:eastAsia="zh-CN"/>
              </w:rPr>
            </w:pPr>
            <w:r>
              <w:rPr>
                <w:rFonts w:hAnsiTheme="minorEastAsia" w:eastAsiaTheme="minorEastAsia"/>
                <w:sz w:val="24"/>
                <w:szCs w:val="24"/>
              </w:rPr>
              <w:t>管理评审的策划及实施符合要求。</w:t>
            </w:r>
            <w:r>
              <w:rPr>
                <w:rFonts w:hint="eastAsia" w:eastAsiaTheme="minorEastAsia"/>
                <w:sz w:val="24"/>
                <w:szCs w:val="24"/>
                <w:lang w:eastAsia="zh-CN"/>
              </w:rPr>
              <w:drawing>
                <wp:inline distT="0" distB="0" distL="114300" distR="114300">
                  <wp:extent cx="1868805" cy="2493645"/>
                  <wp:effectExtent l="0" t="0" r="17145" b="1905"/>
                  <wp:docPr id="1" name="图片 1" descr="271ba8e764e455d9bafafcba29e4f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71ba8e764e455d9bafafcba29e4fa7"/>
                          <pic:cNvPicPr>
                            <a:picLocks noChangeAspect="1"/>
                          </pic:cNvPicPr>
                        </pic:nvPicPr>
                        <pic:blipFill>
                          <a:blip r:embed="rId6"/>
                          <a:stretch>
                            <a:fillRect/>
                          </a:stretch>
                        </pic:blipFill>
                        <pic:spPr>
                          <a:xfrm>
                            <a:off x="0" y="0"/>
                            <a:ext cx="1868805" cy="2493645"/>
                          </a:xfrm>
                          <a:prstGeom prst="rect">
                            <a:avLst/>
                          </a:prstGeom>
                        </pic:spPr>
                      </pic:pic>
                    </a:graphicData>
                  </a:graphic>
                </wp:inline>
              </w:drawing>
            </w:r>
            <w:bookmarkStart w:id="2" w:name="_GoBack"/>
            <w:bookmarkEnd w:id="2"/>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改进</w:t>
            </w:r>
          </w:p>
          <w:p>
            <w:pPr>
              <w:spacing w:line="360" w:lineRule="auto"/>
              <w:rPr>
                <w:rFonts w:eastAsiaTheme="minorEastAsia"/>
                <w:sz w:val="24"/>
                <w:szCs w:val="24"/>
              </w:rPr>
            </w:pPr>
          </w:p>
        </w:tc>
        <w:tc>
          <w:tcPr>
            <w:tcW w:w="1311" w:type="dxa"/>
            <w:vAlign w:val="center"/>
          </w:tcPr>
          <w:p>
            <w:pPr>
              <w:spacing w:line="360" w:lineRule="auto"/>
              <w:rPr>
                <w:rFonts w:eastAsiaTheme="minorEastAsia"/>
                <w:sz w:val="24"/>
                <w:szCs w:val="24"/>
              </w:rPr>
            </w:pPr>
            <w:r>
              <w:rPr>
                <w:rFonts w:eastAsiaTheme="minorEastAsia"/>
                <w:sz w:val="24"/>
                <w:szCs w:val="24"/>
              </w:rPr>
              <w:t>QE</w:t>
            </w:r>
            <w:r>
              <w:rPr>
                <w:rFonts w:hint="eastAsia" w:eastAsiaTheme="minorEastAsia"/>
                <w:sz w:val="24"/>
                <w:szCs w:val="24"/>
                <w:lang w:val="en-US" w:eastAsia="zh-CN"/>
              </w:rPr>
              <w:t>O</w:t>
            </w:r>
            <w:r>
              <w:rPr>
                <w:rFonts w:hAnsiTheme="minorEastAsia" w:eastAsiaTheme="minorEastAsia"/>
                <w:sz w:val="24"/>
                <w:szCs w:val="24"/>
              </w:rPr>
              <w:t>：</w:t>
            </w:r>
            <w:r>
              <w:rPr>
                <w:rFonts w:eastAsiaTheme="minorEastAsia"/>
                <w:sz w:val="24"/>
                <w:szCs w:val="24"/>
              </w:rPr>
              <w:t>10.1</w:t>
            </w:r>
            <w:r>
              <w:rPr>
                <w:rFonts w:hAnsiTheme="minorEastAsia" w:eastAsiaTheme="minorEastAsia"/>
                <w:sz w:val="24"/>
                <w:szCs w:val="24"/>
              </w:rPr>
              <w:t>、</w:t>
            </w:r>
            <w:r>
              <w:rPr>
                <w:rFonts w:eastAsiaTheme="minorEastAsia"/>
                <w:sz w:val="24"/>
                <w:szCs w:val="24"/>
              </w:rPr>
              <w:t>10.3</w:t>
            </w:r>
          </w:p>
          <w:p>
            <w:pPr>
              <w:spacing w:line="360" w:lineRule="auto"/>
              <w:rPr>
                <w:rFonts w:eastAsiaTheme="minorEastAsia"/>
                <w:sz w:val="24"/>
                <w:szCs w:val="24"/>
              </w:rPr>
            </w:pPr>
          </w:p>
        </w:tc>
        <w:tc>
          <w:tcPr>
            <w:tcW w:w="10004" w:type="dxa"/>
            <w:vAlign w:val="center"/>
          </w:tcPr>
          <w:p>
            <w:pPr>
              <w:snapToGrid w:val="0"/>
              <w:spacing w:beforeLines="30" w:afterLines="30" w:line="288" w:lineRule="auto"/>
              <w:ind w:firstLine="480" w:firstLineChars="200"/>
              <w:rPr>
                <w:rFonts w:eastAsiaTheme="minorEastAsia"/>
                <w:sz w:val="24"/>
                <w:szCs w:val="24"/>
              </w:rPr>
            </w:pPr>
            <w:r>
              <w:rPr>
                <w:rFonts w:hAnsiTheme="minorEastAsia" w:eastAsiaTheme="minorEastAsia"/>
                <w:color w:val="000000"/>
                <w:sz w:val="24"/>
                <w:szCs w:val="24"/>
              </w:rPr>
              <w:t>管理者代表根据总经理意图组织持续改进过程的策划工作，由</w:t>
            </w:r>
            <w:r>
              <w:rPr>
                <w:rFonts w:hint="eastAsia" w:hAnsiTheme="minorEastAsia" w:eastAsiaTheme="minorEastAsia"/>
                <w:color w:val="000000"/>
                <w:sz w:val="24"/>
                <w:szCs w:val="24"/>
                <w:lang w:val="en-US" w:eastAsia="zh-CN"/>
              </w:rPr>
              <w:t>办公室</w:t>
            </w:r>
            <w:r>
              <w:rPr>
                <w:rFonts w:hAnsiTheme="minorEastAsia" w:eastAsiaTheme="minorEastAsia"/>
                <w:color w:val="000000"/>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809" w:type="dxa"/>
          </w:tcPr>
          <w:p>
            <w:pPr>
              <w:spacing w:line="400" w:lineRule="exact"/>
              <w:rPr>
                <w:rFonts w:eastAsiaTheme="minorEastAsia"/>
                <w:sz w:val="24"/>
                <w:szCs w:val="24"/>
              </w:rPr>
            </w:pPr>
            <w:r>
              <w:rPr>
                <w:rFonts w:hAnsiTheme="minorEastAsia" w:eastAsiaTheme="minorEastAsia"/>
                <w:sz w:val="24"/>
                <w:szCs w:val="24"/>
              </w:rPr>
              <w:t>国家</w:t>
            </w:r>
            <w:r>
              <w:rPr>
                <w:rFonts w:eastAsiaTheme="minorEastAsia"/>
                <w:sz w:val="24"/>
                <w:szCs w:val="24"/>
              </w:rPr>
              <w:t>/</w:t>
            </w:r>
            <w:r>
              <w:rPr>
                <w:rFonts w:hAnsiTheme="minorEastAsia" w:eastAsiaTheme="minorEastAsia"/>
                <w:sz w:val="24"/>
                <w:szCs w:val="24"/>
              </w:rPr>
              <w:t>地方抽查、顾客满意、相关方投诉处理</w:t>
            </w:r>
          </w:p>
        </w:tc>
        <w:tc>
          <w:tcPr>
            <w:tcW w:w="1311" w:type="dxa"/>
          </w:tcPr>
          <w:p>
            <w:pPr>
              <w:spacing w:line="400" w:lineRule="exact"/>
              <w:rPr>
                <w:rFonts w:eastAsiaTheme="minorEastAsia"/>
                <w:sz w:val="24"/>
                <w:szCs w:val="24"/>
              </w:rPr>
            </w:pPr>
          </w:p>
        </w:tc>
        <w:tc>
          <w:tcPr>
            <w:tcW w:w="10004" w:type="dxa"/>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自公司成立以来，未受到上级主管部门有关质量、环境问题、职业健康安全的行政处罚。未发生相关方的投诉。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暂时没有国家</w:t>
            </w:r>
            <w:r>
              <w:rPr>
                <w:rFonts w:eastAsiaTheme="minorEastAsia"/>
                <w:sz w:val="24"/>
                <w:szCs w:val="24"/>
              </w:rPr>
              <w:t>/</w:t>
            </w:r>
            <w:r>
              <w:rPr>
                <w:rFonts w:hAnsiTheme="minorEastAsia" w:eastAsiaTheme="minorEastAsia"/>
                <w:sz w:val="24"/>
                <w:szCs w:val="24"/>
              </w:rPr>
              <w:t>地方抽查情况。</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目前没有相关行政主管部门的检查处罚，在审核现场也未发现抽查、相关方投诉等情况。</w:t>
            </w:r>
          </w:p>
        </w:tc>
        <w:tc>
          <w:tcPr>
            <w:tcW w:w="1585" w:type="dxa"/>
          </w:tcPr>
          <w:p>
            <w:pPr>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809" w:type="dxa"/>
          </w:tcPr>
          <w:p>
            <w:pPr>
              <w:spacing w:line="400" w:lineRule="exact"/>
              <w:rPr>
                <w:rFonts w:eastAsiaTheme="minorEastAsia"/>
                <w:sz w:val="24"/>
                <w:szCs w:val="24"/>
              </w:rPr>
            </w:pPr>
            <w:r>
              <w:rPr>
                <w:rFonts w:hAnsiTheme="minorEastAsia" w:eastAsiaTheme="minorEastAsia"/>
                <w:sz w:val="24"/>
                <w:szCs w:val="24"/>
              </w:rPr>
              <w:t>验证资质</w:t>
            </w:r>
          </w:p>
        </w:tc>
        <w:tc>
          <w:tcPr>
            <w:tcW w:w="1311" w:type="dxa"/>
          </w:tcPr>
          <w:p>
            <w:pPr>
              <w:spacing w:line="400" w:lineRule="exact"/>
              <w:rPr>
                <w:rFonts w:eastAsiaTheme="minorEastAsia"/>
                <w:sz w:val="24"/>
                <w:szCs w:val="24"/>
              </w:rPr>
            </w:pPr>
          </w:p>
        </w:tc>
        <w:tc>
          <w:tcPr>
            <w:tcW w:w="10004" w:type="dxa"/>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提供了组织营业执照均为有效。</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tcPr>
          <w:p>
            <w:pPr>
              <w:spacing w:line="400" w:lineRule="exact"/>
              <w:rPr>
                <w:rFonts w:eastAsiaTheme="minorEastAsia"/>
                <w:sz w:val="24"/>
                <w:szCs w:val="24"/>
              </w:rPr>
            </w:pPr>
            <w:r>
              <w:rPr>
                <w:rFonts w:hAnsiTheme="minorEastAsia" w:eastAsiaTheme="minorEastAsia"/>
                <w:sz w:val="24"/>
                <w:szCs w:val="24"/>
              </w:rPr>
              <w:t>一阶段问题验证</w:t>
            </w:r>
          </w:p>
        </w:tc>
        <w:tc>
          <w:tcPr>
            <w:tcW w:w="1311" w:type="dxa"/>
          </w:tcPr>
          <w:p>
            <w:pPr>
              <w:spacing w:line="400" w:lineRule="exact"/>
              <w:rPr>
                <w:rFonts w:eastAsiaTheme="minorEastAsia"/>
                <w:sz w:val="24"/>
                <w:szCs w:val="24"/>
              </w:rPr>
            </w:pPr>
          </w:p>
        </w:tc>
        <w:tc>
          <w:tcPr>
            <w:tcW w:w="10004" w:type="dxa"/>
          </w:tcPr>
          <w:p>
            <w:pPr>
              <w:spacing w:beforeLines="30" w:afterLines="30" w:line="288" w:lineRule="auto"/>
              <w:ind w:firstLine="480" w:firstLineChars="200"/>
              <w:rPr>
                <w:rFonts w:hint="eastAsia" w:eastAsiaTheme="minorEastAsia"/>
                <w:sz w:val="24"/>
                <w:szCs w:val="24"/>
                <w:lang w:eastAsia="zh-CN"/>
              </w:rPr>
            </w:pPr>
            <w:r>
              <w:rPr>
                <w:rFonts w:hint="eastAsia" w:hAnsiTheme="minorEastAsia" w:eastAsiaTheme="minorEastAsia"/>
                <w:sz w:val="24"/>
                <w:szCs w:val="24"/>
                <w:lang w:val="en-US" w:eastAsia="zh-CN"/>
              </w:rPr>
              <w:t>无</w:t>
            </w:r>
          </w:p>
        </w:tc>
        <w:tc>
          <w:tcPr>
            <w:tcW w:w="1585" w:type="dxa"/>
          </w:tcPr>
          <w:p>
            <w:pPr>
              <w:spacing w:line="360" w:lineRule="auto"/>
              <w:rPr>
                <w:rFonts w:eastAsiaTheme="minorEastAsia"/>
                <w:sz w:val="24"/>
                <w:szCs w:val="24"/>
              </w:rPr>
            </w:pPr>
            <w:r>
              <w:rPr>
                <w:rFonts w:eastAsiaTheme="minorEastAsia"/>
                <w:sz w:val="24"/>
                <w:szCs w:val="24"/>
              </w:rPr>
              <w:t>合格</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-71755</wp:posOffset>
          </wp:positionH>
          <wp:positionV relativeFrom="paragraph">
            <wp:posOffset>-46990</wp:posOffset>
          </wp:positionV>
          <wp:extent cx="482600" cy="485775"/>
          <wp:effectExtent l="0" t="0" r="12700"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20" w:firstLineChars="400"/>
      <w:jc w:val="left"/>
    </w:pPr>
    <w:r>
      <w:pict>
        <v:shape id="_x0000_s1025" o:spid="_x0000_s1025"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pPr>
                  <w:ind w:firstLine="900" w:firstLineChars="500"/>
                </w:pPr>
                <w:r>
                  <w:rPr>
                    <w:rFonts w:hint="eastAsia"/>
                    <w:sz w:val="18"/>
                    <w:szCs w:val="18"/>
                  </w:rPr>
                  <w:t>ISC-B-II-12(05版）)</w:t>
                </w:r>
              </w:p>
            </w:txbxContent>
          </v:textbox>
        </v:shape>
      </w:pict>
    </w:r>
    <w:r>
      <w:rPr>
        <w:rStyle w:val="12"/>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C040C"/>
    <w:rsid w:val="000179DB"/>
    <w:rsid w:val="00027CFD"/>
    <w:rsid w:val="00216D0F"/>
    <w:rsid w:val="002453E0"/>
    <w:rsid w:val="003254EE"/>
    <w:rsid w:val="003B6B18"/>
    <w:rsid w:val="003D25D2"/>
    <w:rsid w:val="004D58AA"/>
    <w:rsid w:val="00537A14"/>
    <w:rsid w:val="0055317A"/>
    <w:rsid w:val="005C040C"/>
    <w:rsid w:val="005C2CC2"/>
    <w:rsid w:val="00607106"/>
    <w:rsid w:val="00615BD7"/>
    <w:rsid w:val="00711EF7"/>
    <w:rsid w:val="007D12E6"/>
    <w:rsid w:val="007F23D6"/>
    <w:rsid w:val="008A1D90"/>
    <w:rsid w:val="008B13D5"/>
    <w:rsid w:val="008B394B"/>
    <w:rsid w:val="008B4944"/>
    <w:rsid w:val="008D6E91"/>
    <w:rsid w:val="008E0CBF"/>
    <w:rsid w:val="009C6CE5"/>
    <w:rsid w:val="00A143B6"/>
    <w:rsid w:val="00A23916"/>
    <w:rsid w:val="00A31BAA"/>
    <w:rsid w:val="00AD0913"/>
    <w:rsid w:val="00B20739"/>
    <w:rsid w:val="00BC5B55"/>
    <w:rsid w:val="00CF62F2"/>
    <w:rsid w:val="00D050A8"/>
    <w:rsid w:val="00D10ACD"/>
    <w:rsid w:val="00D471E6"/>
    <w:rsid w:val="00D572DD"/>
    <w:rsid w:val="00D61BE1"/>
    <w:rsid w:val="00DC08CB"/>
    <w:rsid w:val="00E15843"/>
    <w:rsid w:val="00E34B66"/>
    <w:rsid w:val="00E92D77"/>
    <w:rsid w:val="00EA40CD"/>
    <w:rsid w:val="00ED7AC6"/>
    <w:rsid w:val="00F7678E"/>
    <w:rsid w:val="05492F9A"/>
    <w:rsid w:val="0A3F5FAE"/>
    <w:rsid w:val="102C07C5"/>
    <w:rsid w:val="39651981"/>
    <w:rsid w:val="43D415E4"/>
    <w:rsid w:val="49501690"/>
    <w:rsid w:val="69081DC8"/>
    <w:rsid w:val="773F00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990</Words>
  <Characters>5644</Characters>
  <Lines>47</Lines>
  <Paragraphs>13</Paragraphs>
  <TotalTime>0</TotalTime>
  <ScaleCrop>false</ScaleCrop>
  <LinksUpToDate>false</LinksUpToDate>
  <CharactersWithSpaces>6621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2022-03-09T07:05:56Z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E455825DFC41466EB4FD800CCDC8A89F</vt:lpwstr>
  </property>
</Properties>
</file>