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09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高彩红</w:t>
            </w:r>
            <w:r>
              <w:rPr>
                <w:sz w:val="24"/>
                <w:szCs w:val="24"/>
              </w:rPr>
              <w:t xml:space="preserve">     </w:t>
            </w:r>
            <w:r>
              <w:rPr>
                <w:rFonts w:hint="eastAsia"/>
                <w:sz w:val="24"/>
                <w:szCs w:val="24"/>
              </w:rPr>
              <w:t>陪同人员：</w:t>
            </w:r>
            <w:r>
              <w:rPr>
                <w:rFonts w:hint="eastAsia"/>
                <w:sz w:val="24"/>
                <w:szCs w:val="24"/>
                <w:lang w:val="en-US" w:eastAsia="zh-CN"/>
              </w:rPr>
              <w:t>张志坤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lang w:val="en-US" w:eastAsia="zh-CN"/>
              </w:rPr>
              <w:t xml:space="preserve">      </w:t>
            </w:r>
            <w:r>
              <w:rPr>
                <w:rFonts w:hint="eastAsia"/>
                <w:sz w:val="24"/>
                <w:szCs w:val="24"/>
              </w:rPr>
              <w:t>审核时间：</w:t>
            </w:r>
            <w:bookmarkStart w:id="0" w:name="审核日期"/>
            <w:r>
              <w:t>202</w:t>
            </w:r>
            <w:r>
              <w:rPr>
                <w:rFonts w:hint="eastAsia"/>
                <w:lang w:val="en-US" w:eastAsia="zh-CN"/>
              </w:rPr>
              <w:t>2</w:t>
            </w:r>
            <w:r>
              <w:t>年</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lang w:val="en-US" w:eastAsia="zh-CN"/>
              </w:rPr>
            </w:pPr>
            <w:r>
              <w:rPr>
                <w:rFonts w:hint="eastAsia"/>
                <w:sz w:val="24"/>
                <w:szCs w:val="24"/>
                <w:lang w:val="en-US" w:eastAsia="zh-CN"/>
              </w:rPr>
              <w:t>审核条款：</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eastAsiaTheme="minorEastAsia"/>
                <w:lang w:eastAsia="zh-CN"/>
              </w:rPr>
            </w:pPr>
            <w:r>
              <w:rPr>
                <w:rFonts w:hint="eastAsia" w:ascii="宋体" w:hAnsi="宋体" w:cs="Arial"/>
                <w:sz w:val="21"/>
                <w:szCs w:val="21"/>
              </w:rPr>
              <w:t>OHSMS: 5.3组织的岗位、职责和权限、6.1.2危险源的辨识与评价、6.1.3合规义务、6.1.4措施的策划、6.2.1职业健康安全目标、6.2.2实现职业健康安全目标措施的策划</w:t>
            </w:r>
            <w:r>
              <w:rPr>
                <w:rFonts w:hint="eastAsia" w:ascii="宋体" w:hAnsi="宋体" w:cs="Arial"/>
                <w:sz w:val="21"/>
                <w:szCs w:val="21"/>
                <w:lang w:eastAsia="zh-CN"/>
              </w:rPr>
              <w:t>、</w:t>
            </w:r>
            <w:r>
              <w:rPr>
                <w:rFonts w:hint="eastAsia" w:ascii="宋体" w:hAnsi="宋体" w:cs="Arial"/>
                <w:sz w:val="21"/>
                <w:szCs w:val="21"/>
              </w:rPr>
              <w:t>7.2能力、7.3意识、7.5.1形成文件的信息总则、7.5.2形成文件的信息的创建和更新、7.5.3形成文件的信息的控制、8.1运行策划和控制、9.1监视、测量、分析和评价（9.1.1总则、9.1.2合规性评价）、9.2 内部审核、10.2不符合/事件和纠正措施，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spacing w:val="-6"/>
                <w:sz w:val="21"/>
                <w:szCs w:val="21"/>
                <w:lang w:val="en-US" w:eastAsia="zh-CN"/>
              </w:rPr>
              <w:t>O</w:t>
            </w:r>
            <w:r>
              <w:rPr>
                <w:rFonts w:hint="default" w:ascii="Times New Roman" w:hAnsi="Times New Roman" w:cs="Times New Roman"/>
                <w:color w:val="auto"/>
                <w:spacing w:val="-6"/>
                <w:sz w:val="21"/>
                <w:szCs w:val="21"/>
                <w:lang w:val="en-US" w:eastAsia="zh-CN"/>
              </w:rPr>
              <w:t>:5.3</w:t>
            </w:r>
          </w:p>
        </w:tc>
        <w:tc>
          <w:tcPr>
            <w:tcW w:w="10004" w:type="dxa"/>
            <w:vAlign w:val="top"/>
          </w:tcPr>
          <w:p>
            <w:pPr>
              <w:pStyle w:val="4"/>
              <w:spacing w:line="410" w:lineRule="exact"/>
              <w:ind w:left="0" w:leftChars="0" w:firstLine="0" w:firstLineChars="0"/>
              <w:rPr>
                <w:rFonts w:hint="default" w:ascii="Times New Roman" w:hAnsi="Times New Roman" w:eastAsia="宋体" w:cs="Times New Roman"/>
                <w:kern w:val="2"/>
                <w:sz w:val="21"/>
                <w:szCs w:val="21"/>
                <w:lang w:val="en-US" w:eastAsia="zh-CN" w:bidi="ar-SA"/>
              </w:rPr>
            </w:pPr>
            <w:r>
              <w:rPr>
                <w:rFonts w:hint="eastAsia" w:cs="Arial" w:asciiTheme="minorEastAsia" w:hAnsiTheme="minorEastAsia" w:eastAsiaTheme="minorEastAsia"/>
                <w:kern w:val="2"/>
                <w:sz w:val="21"/>
                <w:szCs w:val="21"/>
                <w:u w:val="none"/>
                <w:lang w:val="en-US" w:eastAsia="zh-CN" w:bidi="ar-SA"/>
              </w:rPr>
              <w:t>办公</w:t>
            </w:r>
            <w:r>
              <w:rPr>
                <w:rFonts w:hint="eastAsia" w:ascii="Times New Roman" w:hAnsi="Times New Roman" w:eastAsia="宋体" w:cs="Times New Roman"/>
                <w:kern w:val="2"/>
                <w:sz w:val="21"/>
                <w:szCs w:val="21"/>
                <w:lang w:val="en-US" w:eastAsia="zh-CN" w:bidi="ar-SA"/>
              </w:rPr>
              <w:t>室主要职责</w:t>
            </w:r>
          </w:p>
          <w:p>
            <w:pPr>
              <w:pStyle w:val="9"/>
              <w:spacing w:line="440" w:lineRule="exact"/>
              <w:ind w:left="-76" w:leftChars="-36"/>
              <w:rPr>
                <w:rFonts w:hint="eastAsia" w:ascii="Times New Roman" w:hAnsi="Times New Roman" w:eastAsia="宋体" w:cs="Times New Roman"/>
                <w:kern w:val="2"/>
                <w:sz w:val="21"/>
                <w:szCs w:val="21"/>
                <w:lang w:val="en-US" w:eastAsia="zh-CN" w:bidi="ar-SA"/>
              </w:rPr>
            </w:pPr>
            <w:r>
              <w:rPr>
                <w:rFonts w:hint="eastAsia" w:ascii="宋体" w:hAnsi="宋体" w:eastAsia="宋体" w:cs="宋体"/>
                <w:szCs w:val="28"/>
              </w:rPr>
              <w:t>a</w:t>
            </w:r>
            <w:r>
              <w:rPr>
                <w:rFonts w:hint="eastAsia" w:ascii="Times New Roman" w:hAnsi="Times New Roman" w:eastAsia="宋体" w:cs="Times New Roman"/>
                <w:kern w:val="2"/>
                <w:sz w:val="21"/>
                <w:szCs w:val="21"/>
                <w:lang w:val="en-US" w:eastAsia="zh-CN" w:bidi="ar-SA"/>
              </w:rPr>
              <w:t>.负责贯彻落实GB/T19001-2016标准、GB/T24001-2016标准、GB/T45001-2020标准，作好质量、环境、职业安全健康管理体系的具体策划和组织管理工作；负责组织质量和环境管理体系的内部审核；组织检查质量、环境、职业安全健康管理体系过程的运行情况</w:t>
            </w:r>
          </w:p>
          <w:p>
            <w:pPr>
              <w:pStyle w:val="9"/>
              <w:spacing w:line="440" w:lineRule="exact"/>
              <w:ind w:left="-76" w:leftChars="-36"/>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b.文件发放、回收的管理</w:t>
            </w:r>
          </w:p>
          <w:p>
            <w:pPr>
              <w:pStyle w:val="9"/>
              <w:spacing w:line="440" w:lineRule="exact"/>
              <w:ind w:left="-76" w:leftChars="-36"/>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c.负责人员的选择，并根据各部门的需求进行安排，编制相应的岗位工作入职要求；</w:t>
            </w:r>
          </w:p>
          <w:p>
            <w:pPr>
              <w:pStyle w:val="9"/>
              <w:spacing w:line="440" w:lineRule="exact"/>
              <w:ind w:left="-76" w:leftChars="-36"/>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d.组织对各类人员进行有针对性的培训、考核及评价工作，不断提高质量、环境、职业安全健康意识素质和技能；</w:t>
            </w:r>
          </w:p>
          <w:p>
            <w:pPr>
              <w:pStyle w:val="9"/>
              <w:spacing w:line="440" w:lineRule="exact"/>
              <w:ind w:left="42" w:leftChars="2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e. 负责法律、法规及其他要求的获取及识别其适用性，并负责法律、法规及其他要求的发放；。</w:t>
            </w:r>
          </w:p>
          <w:p>
            <w:pPr>
              <w:pStyle w:val="9"/>
              <w:spacing w:line="440" w:lineRule="exact"/>
              <w:ind w:left="0" w:leftChars="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f.负责组织公司环境因素、危险源的识别和评价，并确定重要环境因素、危险源，报管理者代表审批。；</w:t>
            </w:r>
          </w:p>
          <w:p>
            <w:pPr>
              <w:pStyle w:val="9"/>
              <w:spacing w:line="440" w:lineRule="exact"/>
              <w:ind w:left="0" w:leftChars="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g.负责监督检验各工作场所的环境工作情况；</w:t>
            </w:r>
          </w:p>
          <w:p>
            <w:pPr>
              <w:pStyle w:val="9"/>
              <w:spacing w:line="440" w:lineRule="exact"/>
              <w:ind w:left="0" w:leftChars="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h.负责公司范围内的应急准备和相应计划的制定及可行性的应急演练。</w:t>
            </w:r>
          </w:p>
          <w:p>
            <w:pPr>
              <w:pStyle w:val="9"/>
              <w:spacing w:line="440" w:lineRule="exact"/>
              <w:ind w:left="0"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l.负责监督检查公司各职能部门有关层次上的管理目标的分解、实施及管理方案的制定、检查与实施。</w:t>
            </w:r>
          </w:p>
          <w:p>
            <w:pPr>
              <w:pStyle w:val="9"/>
              <w:spacing w:line="440" w:lineRule="exact"/>
              <w:ind w:left="0"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n.负责收集、整理各部门的质量记录以及相关数据收集、传递和交流</w:t>
            </w:r>
          </w:p>
          <w:p>
            <w:pPr>
              <w:pStyle w:val="9"/>
              <w:spacing w:line="440" w:lineRule="exact"/>
              <w:ind w:left="0"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g.负责对环境、安全健康方面的不符合进行纠正和预防措施的跟踪、验证工作；</w:t>
            </w:r>
          </w:p>
          <w:p>
            <w:pPr>
              <w:pStyle w:val="9"/>
              <w:spacing w:line="440" w:lineRule="exact"/>
              <w:ind w:left="0"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n.收集、整理和保管本部门的质量记录、对相关的数据收集传递和交流；</w:t>
            </w:r>
          </w:p>
          <w:p>
            <w:pPr>
              <w:pStyle w:val="9"/>
              <w:spacing w:line="440" w:lineRule="exact"/>
              <w:ind w:left="0"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o.公司财务、资金、成本，费用实行宏观管理,</w:t>
            </w:r>
          </w:p>
          <w:p>
            <w:pPr>
              <w:pStyle w:val="9"/>
              <w:spacing w:line="440" w:lineRule="exact"/>
              <w:ind w:left="0" w:lef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P.组织公司年、季、月财务收支计划的编制和实施，控制费用支出，合理使用资金，实现公司经济指标.</w:t>
            </w:r>
          </w:p>
          <w:p>
            <w:pPr>
              <w:spacing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q.编制会计报表及相关收支统计报表•  负责本部门应急准备和响应计划落实及应急情况的善后处理，包括本部门应急准备的物资管理。</w:t>
            </w:r>
          </w:p>
          <w:p>
            <w:pPr>
              <w:snapToGrid w:val="0"/>
              <w:spacing w:line="276" w:lineRule="auto"/>
              <w:ind w:firstLine="420" w:firstLineChars="200"/>
              <w:rPr>
                <w:rFonts w:hint="eastAsia"/>
                <w:lang w:val="en-US" w:eastAsia="zh-CN"/>
              </w:rPr>
            </w:pPr>
            <w:r>
              <w:rPr>
                <w:rFonts w:hint="eastAsia" w:cs="Times New Roman"/>
                <w:kern w:val="2"/>
                <w:sz w:val="21"/>
                <w:szCs w:val="21"/>
                <w:lang w:val="en-US" w:eastAsia="zh-CN" w:bidi="ar-SA"/>
              </w:rPr>
              <w:t xml:space="preserve">  </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Arial"/>
                <w:kern w:val="2"/>
                <w:sz w:val="21"/>
                <w:szCs w:val="21"/>
                <w:lang w:val="en-US" w:eastAsia="zh-CN" w:bidi="ar-SA"/>
              </w:rPr>
            </w:pPr>
            <w:r>
              <w:rPr>
                <w:rFonts w:hint="default" w:ascii="宋体" w:hAnsi="宋体" w:eastAsia="宋体" w:cs="Arial"/>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spacing w:val="-6"/>
                <w:sz w:val="21"/>
                <w:szCs w:val="21"/>
                <w:lang w:val="en-US" w:eastAsia="zh-CN"/>
              </w:rPr>
              <w:t>O</w:t>
            </w:r>
            <w:r>
              <w:rPr>
                <w:rFonts w:hint="default" w:ascii="Times New Roman" w:hAnsi="Times New Roman" w:cs="Times New Roman"/>
                <w:color w:val="auto"/>
                <w:spacing w:val="-6"/>
                <w:sz w:val="21"/>
                <w:szCs w:val="21"/>
                <w:lang w:val="en-US" w:eastAsia="zh-CN"/>
              </w:rPr>
              <w:t>:6.2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Arial"/>
                <w:bCs w:val="0"/>
                <w:color w:val="000000" w:themeColor="text1"/>
                <w:spacing w:val="0"/>
                <w:kern w:val="2"/>
                <w:sz w:val="21"/>
                <w:szCs w:val="21"/>
                <w:lang w:val="en-US" w:eastAsia="zh-CN" w:bidi="ar-SA"/>
                <w14:textFill>
                  <w14:solidFill>
                    <w14:schemeClr w14:val="tx1"/>
                  </w14:solidFill>
                </w14:textFill>
              </w:rPr>
            </w:pP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办公室</w:t>
            </w:r>
            <w:r>
              <w:rPr>
                <w:rFonts w:hint="default" w:ascii="宋体" w:hAnsi="宋体" w:eastAsia="宋体" w:cs="Arial"/>
                <w:bCs w:val="0"/>
                <w:color w:val="000000" w:themeColor="text1"/>
                <w:spacing w:val="0"/>
                <w:kern w:val="2"/>
                <w:sz w:val="21"/>
                <w:szCs w:val="21"/>
                <w:lang w:val="en-US" w:eastAsia="zh-CN" w:bidi="ar-SA"/>
                <w14:textFill>
                  <w14:solidFill>
                    <w14:schemeClr w14:val="tx1"/>
                  </w14:solidFill>
                </w14:textFill>
              </w:rPr>
              <w:t>目标</w:t>
            </w: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完成情况</w:t>
            </w:r>
            <w:r>
              <w:rPr>
                <w:rFonts w:hint="default" w:ascii="宋体" w:hAnsi="宋体" w:eastAsia="宋体" w:cs="Arial"/>
                <w:bCs w:val="0"/>
                <w:color w:val="000000" w:themeColor="text1"/>
                <w:spacing w:val="0"/>
                <w:kern w:val="2"/>
                <w:sz w:val="21"/>
                <w:szCs w:val="21"/>
                <w:lang w:val="en-US" w:eastAsia="zh-CN" w:bidi="ar-SA"/>
                <w14:textFill>
                  <w14:solidFill>
                    <w14:schemeClr w14:val="tx1"/>
                  </w14:solidFill>
                </w14:textFill>
              </w:rPr>
              <w:t>：</w:t>
            </w:r>
          </w:p>
          <w:p>
            <w:pPr>
              <w:jc w:val="both"/>
              <w:rPr>
                <w:rFonts w:hint="eastAsia" w:ascii="宋体" w:hAnsi="宋体" w:eastAsia="宋体" w:cs="Arial"/>
                <w:bCs w:val="0"/>
                <w:spacing w:val="0"/>
                <w:kern w:val="2"/>
                <w:sz w:val="21"/>
                <w:szCs w:val="21"/>
                <w:lang w:val="en-US" w:eastAsia="zh-CN" w:bidi="ar-SA"/>
              </w:rPr>
            </w:pPr>
            <w:r>
              <w:rPr>
                <w:rFonts w:hint="eastAsia" w:ascii="宋体" w:hAnsi="宋体" w:cs="Arial"/>
                <w:bCs w:val="0"/>
                <w:spacing w:val="0"/>
                <w:kern w:val="2"/>
                <w:sz w:val="21"/>
                <w:szCs w:val="21"/>
                <w:lang w:val="en-US" w:eastAsia="zh-CN" w:bidi="ar-SA"/>
              </w:rPr>
              <w:t xml:space="preserve">查见 </w:t>
            </w:r>
            <w:r>
              <w:rPr>
                <w:rFonts w:hint="eastAsia" w:ascii="宋体" w:hAnsi="宋体" w:eastAsia="宋体" w:cs="Arial"/>
                <w:bCs w:val="0"/>
                <w:spacing w:val="0"/>
                <w:kern w:val="2"/>
                <w:sz w:val="21"/>
                <w:szCs w:val="21"/>
                <w:lang w:val="en-US" w:eastAsia="zh-CN" w:bidi="ar-SA"/>
              </w:rPr>
              <w:t>2021年6月-2021年12月份部门质量目标实现统计</w:t>
            </w:r>
          </w:p>
          <w:p>
            <w:pPr>
              <w:pStyle w:val="11"/>
              <w:rPr>
                <w:rFonts w:hint="eastAsia" w:ascii="宋体" w:hAnsi="宋体"/>
                <w:szCs w:val="21"/>
                <w:lang w:val="en-US" w:eastAsia="zh-CN"/>
              </w:rPr>
            </w:pPr>
            <w:r>
              <w:rPr>
                <w:rFonts w:hint="eastAsia" w:ascii="宋体" w:hAnsi="宋体" w:cs="Arial"/>
                <w:bCs w:val="0"/>
                <w:spacing w:val="0"/>
                <w:kern w:val="2"/>
                <w:sz w:val="21"/>
                <w:szCs w:val="21"/>
                <w:lang w:val="en-US" w:eastAsia="zh-CN" w:bidi="ar-SA"/>
              </w:rPr>
              <w:t xml:space="preserve">部门             </w:t>
            </w:r>
            <w:r>
              <w:rPr>
                <w:rFonts w:hint="eastAsia" w:ascii="宋体" w:hAnsi="宋体"/>
                <w:szCs w:val="21"/>
              </w:rPr>
              <w:t>分析项目</w:t>
            </w:r>
            <w:r>
              <w:rPr>
                <w:rFonts w:hint="eastAsia" w:ascii="宋体" w:hAnsi="宋体"/>
                <w:szCs w:val="21"/>
                <w:lang w:val="en-US" w:eastAsia="zh-CN"/>
              </w:rPr>
              <w:t xml:space="preserve">                                统计结果</w:t>
            </w:r>
          </w:p>
          <w:p>
            <w:pPr>
              <w:pStyle w:val="11"/>
              <w:numPr>
                <w:ilvl w:val="0"/>
                <w:numId w:val="0"/>
              </w:numPr>
              <w:rPr>
                <w:rFonts w:hint="default" w:ascii="宋体" w:hAnsi="宋体" w:eastAsia="宋体"/>
                <w:sz w:val="24"/>
                <w:lang w:val="en-US" w:eastAsia="zh-CN"/>
              </w:rPr>
            </w:pPr>
            <w:r>
              <w:rPr>
                <w:rFonts w:hint="eastAsia" w:ascii="宋体" w:hAnsi="宋体"/>
                <w:szCs w:val="21"/>
                <w:lang w:val="en-US" w:eastAsia="zh-CN"/>
              </w:rPr>
              <w:t xml:space="preserve">办公室            </w:t>
            </w:r>
            <w:r>
              <w:rPr>
                <w:rFonts w:hint="eastAsia" w:ascii="宋体" w:hAnsi="宋体"/>
                <w:sz w:val="24"/>
              </w:rPr>
              <w:t>火灾事故率0</w:t>
            </w:r>
            <w:r>
              <w:rPr>
                <w:rFonts w:hint="eastAsia" w:ascii="宋体" w:hAnsi="宋体"/>
                <w:sz w:val="24"/>
                <w:lang w:val="en-US" w:eastAsia="zh-CN"/>
              </w:rPr>
              <w:t xml:space="preserve">                           0</w:t>
            </w:r>
          </w:p>
          <w:p>
            <w:pPr>
              <w:pStyle w:val="11"/>
              <w:numPr>
                <w:ilvl w:val="0"/>
                <w:numId w:val="0"/>
              </w:numPr>
              <w:ind w:left="840" w:leftChars="0" w:firstLine="960" w:firstLineChars="400"/>
              <w:rPr>
                <w:rFonts w:hint="default" w:ascii="宋体" w:hAnsi="宋体" w:eastAsia="宋体"/>
                <w:sz w:val="24"/>
                <w:lang w:val="en-US" w:eastAsia="zh-CN"/>
              </w:rPr>
            </w:pPr>
            <w:r>
              <w:rPr>
                <w:rFonts w:hint="eastAsia" w:ascii="宋体" w:hAnsi="宋体"/>
                <w:sz w:val="24"/>
              </w:rPr>
              <w:t>年度火灾无发生</w:t>
            </w:r>
            <w:r>
              <w:rPr>
                <w:rFonts w:hint="eastAsia" w:ascii="宋体" w:hAnsi="宋体"/>
                <w:sz w:val="24"/>
                <w:lang w:val="en-US" w:eastAsia="zh-CN"/>
              </w:rPr>
              <w:t xml:space="preserve">                         0</w:t>
            </w:r>
          </w:p>
          <w:p>
            <w:pPr>
              <w:pStyle w:val="11"/>
              <w:numPr>
                <w:ilvl w:val="0"/>
                <w:numId w:val="0"/>
              </w:numPr>
              <w:ind w:left="840" w:leftChars="0" w:firstLine="960" w:firstLineChars="400"/>
              <w:rPr>
                <w:rFonts w:hint="default" w:ascii="宋体" w:hAnsi="宋体" w:eastAsia="宋体"/>
                <w:sz w:val="24"/>
                <w:lang w:val="en-US" w:eastAsia="zh-CN"/>
              </w:rPr>
            </w:pPr>
            <w:r>
              <w:rPr>
                <w:rFonts w:hint="eastAsia" w:ascii="宋体" w:hAnsi="宋体"/>
                <w:sz w:val="24"/>
              </w:rPr>
              <w:t>因抢劫发生人身事故0</w:t>
            </w:r>
            <w:r>
              <w:rPr>
                <w:rFonts w:hint="eastAsia" w:ascii="宋体" w:hAnsi="宋体"/>
                <w:sz w:val="24"/>
                <w:lang w:val="en-US" w:eastAsia="zh-CN"/>
              </w:rPr>
              <w:t xml:space="preserve">                    0</w:t>
            </w:r>
          </w:p>
          <w:p>
            <w:pPr>
              <w:pStyle w:val="2"/>
              <w:rPr>
                <w:rFonts w:hint="default" w:ascii="Times New Roman" w:hAnsi="Times New Roman" w:eastAsia="宋体" w:cs="Times New Roman"/>
                <w:color w:val="FF0000"/>
                <w:kern w:val="2"/>
                <w:sz w:val="21"/>
                <w:lang w:val="en-US" w:eastAsia="zh-CN" w:bidi="ar-SA"/>
              </w:rPr>
            </w:pPr>
            <w:r>
              <w:rPr>
                <w:rFonts w:hint="eastAsia" w:ascii="宋体" w:hAnsi="宋体" w:eastAsia="宋体" w:cs="Arial"/>
                <w:bCs w:val="0"/>
                <w:spacing w:val="0"/>
                <w:kern w:val="2"/>
                <w:sz w:val="21"/>
                <w:szCs w:val="21"/>
                <w:lang w:val="en-US" w:eastAsia="zh-CN" w:bidi="ar-SA"/>
              </w:rPr>
              <w:t>“目标分解考核表”显示对目标完成情况进行了考核</w:t>
            </w:r>
            <w:r>
              <w:rPr>
                <w:rFonts w:hint="eastAsia" w:ascii="宋体" w:hAnsi="宋体" w:cs="Arial"/>
                <w:bCs w:val="0"/>
                <w:spacing w:val="0"/>
                <w:kern w:val="2"/>
                <w:sz w:val="21"/>
                <w:szCs w:val="21"/>
                <w:lang w:val="en-US" w:eastAsia="zh-CN" w:bidi="ar-SA"/>
              </w:rPr>
              <w:t>，</w:t>
            </w:r>
            <w:r>
              <w:rPr>
                <w:rFonts w:hint="eastAsia" w:ascii="宋体" w:hAnsi="宋体" w:eastAsia="宋体" w:cs="Arial"/>
                <w:bCs w:val="0"/>
                <w:spacing w:val="0"/>
                <w:kern w:val="2"/>
                <w:sz w:val="21"/>
                <w:szCs w:val="21"/>
                <w:lang w:val="en-US" w:eastAsia="zh-CN" w:bidi="ar-SA"/>
              </w:rPr>
              <w:t>均完成。</w:t>
            </w:r>
            <w:r>
              <w:rPr>
                <w:rFonts w:hint="eastAsia" w:ascii="宋体" w:hAnsi="宋体" w:cs="Arial"/>
                <w:bCs w:val="0"/>
                <w:spacing w:val="0"/>
                <w:kern w:val="2"/>
                <w:sz w:val="21"/>
                <w:szCs w:val="21"/>
                <w:lang w:val="en-US" w:eastAsia="zh-CN" w:bidi="ar-SA"/>
              </w:rPr>
              <w:t>基本符合。</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eastAsia" w:cs="Times New Roman"/>
                <w:color w:val="auto"/>
                <w:lang w:val="en-US" w:eastAsia="zh-CN"/>
              </w:rPr>
              <w:t>O</w:t>
            </w:r>
            <w:r>
              <w:rPr>
                <w:rFonts w:hint="default" w:ascii="Times New Roman" w:hAnsi="Times New Roman" w:cs="Times New Roman"/>
                <w:color w:val="auto"/>
                <w:lang w:val="en-US" w:eastAsia="zh-CN"/>
              </w:rPr>
              <w:t>:6.1.2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 xml:space="preserve"> </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公司</w:t>
            </w:r>
            <w:r>
              <w:rPr>
                <w:rFonts w:hint="eastAsia" w:cs="Times New Roman" w:eastAsiaTheme="minorEastAsia"/>
                <w:bCs/>
                <w:color w:val="auto"/>
                <w:spacing w:val="10"/>
                <w:kern w:val="2"/>
                <w:sz w:val="21"/>
                <w:szCs w:val="21"/>
                <w:lang w:val="en-US" w:eastAsia="zh-CN" w:bidi="ar-SA"/>
              </w:rPr>
              <w:t>《危险源辨识与风险评价控制程序》</w:t>
            </w:r>
            <w:r>
              <w:rPr>
                <w:rFonts w:hint="eastAsia" w:ascii="Times New Roman" w:hAnsi="Times New Roman" w:cs="Times New Roman" w:eastAsiaTheme="minorEastAsia"/>
                <w:bCs/>
                <w:color w:val="auto"/>
                <w:spacing w:val="10"/>
                <w:kern w:val="2"/>
                <w:sz w:val="21"/>
                <w:szCs w:val="21"/>
                <w:lang w:val="en-US" w:eastAsia="zh-CN" w:bidi="ar-SA"/>
              </w:rPr>
              <w:t>有效文件，无变化。</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查</w:t>
            </w:r>
            <w:r>
              <w:rPr>
                <w:rFonts w:hint="eastAsia" w:cs="Times New Roman" w:eastAsiaTheme="minorEastAsia"/>
                <w:bCs/>
                <w:color w:val="auto"/>
                <w:spacing w:val="10"/>
                <w:kern w:val="2"/>
                <w:sz w:val="21"/>
                <w:szCs w:val="21"/>
                <w:lang w:val="en-US" w:eastAsia="zh-CN" w:bidi="ar-SA"/>
              </w:rPr>
              <w:t>办公区2021.12.10</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cs="Times New Roman" w:eastAsiaTheme="minorEastAsia"/>
                <w:bCs/>
                <w:color w:val="auto"/>
                <w:spacing w:val="10"/>
                <w:kern w:val="2"/>
                <w:sz w:val="21"/>
                <w:szCs w:val="21"/>
                <w:lang w:val="en-US" w:eastAsia="zh-CN" w:bidi="ar-SA"/>
              </w:rPr>
              <w:t>危险源辨识风险评价控制策划表</w:t>
            </w:r>
            <w:r>
              <w:rPr>
                <w:rFonts w:hint="eastAsia" w:ascii="Times New Roman" w:hAnsi="Times New Roman" w:cs="Times New Roman" w:eastAsiaTheme="minorEastAsia"/>
                <w:bCs/>
                <w:color w:val="auto"/>
                <w:spacing w:val="10"/>
                <w:kern w:val="2"/>
                <w:sz w:val="21"/>
                <w:szCs w:val="21"/>
                <w:lang w:val="en-US" w:eastAsia="zh-CN" w:bidi="ar-SA"/>
              </w:rPr>
              <w:t>”，识别出办公区域的</w:t>
            </w:r>
            <w:r>
              <w:rPr>
                <w:rFonts w:hint="eastAsia" w:cs="Times New Roman" w:eastAsiaTheme="minorEastAsia"/>
                <w:bCs/>
                <w:color w:val="auto"/>
                <w:spacing w:val="10"/>
                <w:kern w:val="2"/>
                <w:sz w:val="21"/>
                <w:szCs w:val="21"/>
                <w:lang w:val="en-US" w:eastAsia="zh-CN" w:bidi="ar-SA"/>
              </w:rPr>
              <w:t>危险因素13</w:t>
            </w:r>
            <w:r>
              <w:rPr>
                <w:rFonts w:hint="eastAsia" w:ascii="Times New Roman" w:hAnsi="Times New Roman" w:cs="Times New Roman" w:eastAsiaTheme="minorEastAsia"/>
                <w:bCs/>
                <w:color w:val="auto"/>
                <w:spacing w:val="10"/>
                <w:kern w:val="2"/>
                <w:sz w:val="21"/>
                <w:szCs w:val="21"/>
                <w:lang w:val="en-US" w:eastAsia="zh-CN" w:bidi="ar-SA"/>
              </w:rPr>
              <w:t>项， 对</w:t>
            </w:r>
            <w:r>
              <w:rPr>
                <w:rFonts w:hint="eastAsia" w:ascii="宋体"/>
                <w:szCs w:val="21"/>
              </w:rPr>
              <w:t>各类</w:t>
            </w:r>
            <w:r>
              <w:rPr>
                <w:rFonts w:hint="eastAsia" w:ascii="宋体" w:hAnsi="宋体" w:cs="宋体"/>
                <w:kern w:val="0"/>
                <w:szCs w:val="21"/>
              </w:rPr>
              <w:t>电线老化</w:t>
            </w:r>
            <w:r>
              <w:rPr>
                <w:rFonts w:hint="eastAsia" w:ascii="宋体" w:hAnsi="宋体" w:cs="宋体"/>
                <w:kern w:val="0"/>
                <w:szCs w:val="21"/>
                <w:lang w:eastAsia="zh-CN"/>
              </w:rPr>
              <w:t>、</w:t>
            </w:r>
            <w:r>
              <w:rPr>
                <w:rFonts w:hint="eastAsia" w:ascii="宋体" w:hAnsi="宋体" w:cs="宋体"/>
                <w:kern w:val="0"/>
                <w:szCs w:val="21"/>
              </w:rPr>
              <w:t>电气短路</w:t>
            </w:r>
            <w:r>
              <w:rPr>
                <w:rFonts w:hint="eastAsia" w:ascii="宋体" w:hAnsi="宋体" w:cs="宋体"/>
                <w:kern w:val="0"/>
                <w:szCs w:val="21"/>
                <w:lang w:val="en-US" w:eastAsia="zh-CN"/>
              </w:rPr>
              <w:t>引的</w:t>
            </w:r>
            <w:r>
              <w:rPr>
                <w:rFonts w:hint="eastAsia" w:ascii="宋体"/>
                <w:szCs w:val="21"/>
              </w:rPr>
              <w:t>发火灾</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cs="Times New Roman" w:eastAsiaTheme="minorEastAsia"/>
                <w:bCs/>
                <w:color w:val="auto"/>
                <w:spacing w:val="10"/>
                <w:kern w:val="2"/>
                <w:sz w:val="21"/>
                <w:szCs w:val="21"/>
                <w:lang w:val="en-US" w:eastAsia="zh-CN" w:bidi="ar-SA"/>
              </w:rPr>
              <w:t>触电，</w:t>
            </w:r>
            <w:r>
              <w:rPr>
                <w:rFonts w:hint="eastAsia" w:ascii="宋体" w:hAnsi="宋体" w:cs="宋体"/>
                <w:color w:val="000000"/>
                <w:kern w:val="0"/>
                <w:szCs w:val="21"/>
              </w:rPr>
              <w:t>复印机废粉、臭氧的排放</w:t>
            </w:r>
            <w:r>
              <w:rPr>
                <w:rFonts w:hint="eastAsia" w:ascii="宋体"/>
                <w:szCs w:val="21"/>
                <w:lang w:eastAsia="zh-CN"/>
              </w:rPr>
              <w:t>、</w:t>
            </w:r>
            <w:r>
              <w:rPr>
                <w:rFonts w:hint="eastAsia" w:ascii="宋体"/>
                <w:szCs w:val="21"/>
                <w:lang w:val="en-US" w:eastAsia="zh-CN"/>
              </w:rPr>
              <w:t xml:space="preserve"> 员工上下班交通伤害</w:t>
            </w:r>
            <w:r>
              <w:rPr>
                <w:rFonts w:hint="eastAsia" w:ascii="Times New Roman" w:hAnsi="Times New Roman" w:cs="Times New Roman" w:eastAsiaTheme="minorEastAsia"/>
                <w:bCs/>
                <w:color w:val="auto"/>
                <w:spacing w:val="10"/>
                <w:kern w:val="2"/>
                <w:sz w:val="21"/>
                <w:szCs w:val="21"/>
                <w:lang w:val="en-US" w:eastAsia="zh-CN" w:bidi="ar-SA"/>
              </w:rPr>
              <w:t>等进行了辨识和评价；考虑了生命周期观点。</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评价</w:t>
            </w:r>
            <w:r>
              <w:rPr>
                <w:rFonts w:hint="eastAsia" w:cs="Times New Roman" w:eastAsiaTheme="minorEastAsia"/>
                <w:bCs/>
                <w:color w:val="auto"/>
                <w:spacing w:val="10"/>
                <w:kern w:val="2"/>
                <w:sz w:val="21"/>
                <w:szCs w:val="21"/>
                <w:lang w:val="en-US" w:eastAsia="zh-CN" w:bidi="ar-SA"/>
              </w:rPr>
              <w:t>出办公室区</w:t>
            </w:r>
            <w:r>
              <w:rPr>
                <w:rFonts w:hint="eastAsia" w:ascii="宋体" w:cs="宋体"/>
                <w:color w:val="000000"/>
                <w:kern w:val="0"/>
                <w:szCs w:val="21"/>
              </w:rPr>
              <w:t>办公设备漏电导致触电</w:t>
            </w:r>
            <w:r>
              <w:rPr>
                <w:rFonts w:hint="eastAsia" w:cs="Times New Roman" w:eastAsiaTheme="minorEastAsia"/>
                <w:bCs/>
                <w:color w:val="auto"/>
                <w:spacing w:val="10"/>
                <w:kern w:val="2"/>
                <w:sz w:val="21"/>
                <w:szCs w:val="21"/>
                <w:lang w:val="en-US" w:eastAsia="zh-CN" w:bidi="ar-SA"/>
              </w:rPr>
              <w:t>及</w:t>
            </w:r>
            <w:r>
              <w:rPr>
                <w:rFonts w:hint="eastAsia" w:ascii="宋体" w:cs="宋体"/>
                <w:color w:val="000000"/>
                <w:kern w:val="0"/>
                <w:szCs w:val="21"/>
              </w:rPr>
              <w:t>消防隐患导致火灾</w:t>
            </w:r>
            <w:r>
              <w:rPr>
                <w:rFonts w:hint="eastAsia" w:ascii="宋体" w:cs="宋体"/>
                <w:color w:val="000000"/>
                <w:kern w:val="0"/>
                <w:szCs w:val="21"/>
                <w:lang w:eastAsia="zh-CN"/>
              </w:rPr>
              <w:t>、</w:t>
            </w:r>
            <w:r>
              <w:rPr>
                <w:rFonts w:hint="eastAsia" w:ascii="宋体" w:cs="宋体"/>
                <w:color w:val="000000"/>
                <w:kern w:val="0"/>
                <w:szCs w:val="21"/>
                <w:lang w:val="en-US" w:eastAsia="zh-CN"/>
              </w:rPr>
              <w:t>交通意外伤害</w:t>
            </w:r>
            <w:r>
              <w:rPr>
                <w:rFonts w:hint="eastAsia" w:cs="Times New Roman" w:eastAsiaTheme="minorEastAsia"/>
                <w:bCs/>
                <w:color w:val="auto"/>
                <w:spacing w:val="10"/>
                <w:kern w:val="2"/>
                <w:sz w:val="21"/>
                <w:szCs w:val="21"/>
                <w:lang w:val="en-US" w:eastAsia="zh-CN" w:bidi="ar-SA"/>
              </w:rPr>
              <w:t>为重大危险源</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cs="Times New Roman" w:eastAsiaTheme="minorEastAsia"/>
                <w:bCs/>
                <w:color w:val="auto"/>
                <w:spacing w:val="10"/>
                <w:kern w:val="2"/>
                <w:sz w:val="21"/>
                <w:szCs w:val="21"/>
                <w:lang w:val="en-US" w:eastAsia="zh-CN" w:bidi="ar-SA"/>
              </w:rPr>
              <w:t>控制措施为管理方案。查见2021.12.10危险源辨识与风险评价控制</w:t>
            </w:r>
            <w:r>
              <w:rPr>
                <w:rFonts w:hint="eastAsia" w:ascii="Times New Roman" w:hAnsi="Times New Roman" w:cs="Times New Roman" w:eastAsiaTheme="minorEastAsia"/>
                <w:bCs/>
                <w:color w:val="auto"/>
                <w:spacing w:val="10"/>
                <w:kern w:val="2"/>
                <w:sz w:val="21"/>
                <w:szCs w:val="21"/>
                <w:lang w:val="en-US" w:eastAsia="zh-CN" w:bidi="ar-SA"/>
              </w:rPr>
              <w:t xml:space="preserve">管理方案检查表，对措施的完成情况进行了检查，均已完成。 </w:t>
            </w:r>
          </w:p>
          <w:p>
            <w:pPr>
              <w:pStyle w:val="2"/>
              <w:rPr>
                <w:rFonts w:hint="eastAsia"/>
                <w:lang w:val="en-US" w:eastAsia="zh-CN"/>
              </w:rPr>
            </w:pPr>
            <w:r>
              <w:rPr>
                <w:rFonts w:hint="eastAsia"/>
                <w:lang w:val="en-US" w:eastAsia="zh-CN"/>
              </w:rPr>
              <w:drawing>
                <wp:inline distT="0" distB="0" distL="114300" distR="114300">
                  <wp:extent cx="1886585" cy="1189355"/>
                  <wp:effectExtent l="0" t="0" r="3175" b="14605"/>
                  <wp:docPr id="3" name="图片 3" descr="1646740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6740347(1)"/>
                          <pic:cNvPicPr>
                            <a:picLocks noChangeAspect="1"/>
                          </pic:cNvPicPr>
                        </pic:nvPicPr>
                        <pic:blipFill>
                          <a:blip r:embed="rId8"/>
                          <a:stretch>
                            <a:fillRect/>
                          </a:stretch>
                        </pic:blipFill>
                        <pic:spPr>
                          <a:xfrm>
                            <a:off x="0" y="0"/>
                            <a:ext cx="1886585" cy="1189355"/>
                          </a:xfrm>
                          <a:prstGeom prst="rect">
                            <a:avLst/>
                          </a:prstGeom>
                        </pic:spPr>
                      </pic:pic>
                    </a:graphicData>
                  </a:graphic>
                </wp:inline>
              </w:drawing>
            </w:r>
          </w:p>
          <w:p>
            <w:pPr>
              <w:pStyle w:val="2"/>
              <w:rPr>
                <w:rFonts w:hint="default"/>
                <w:lang w:val="en-US" w:eastAsia="zh-CN"/>
              </w:rPr>
            </w:pPr>
            <w:r>
              <w:rPr>
                <w:rFonts w:hint="eastAsia" w:ascii="宋体" w:hAnsi="宋体" w:cs="Arial"/>
                <w:color w:val="0000FF"/>
                <w:spacing w:val="-6"/>
                <w:kern w:val="2"/>
                <w:sz w:val="21"/>
                <w:szCs w:val="21"/>
                <w:highlight w:val="none"/>
                <w:lang w:val="en-US" w:eastAsia="zh-CN" w:bidi="ar-SA"/>
              </w:rPr>
              <w:t xml:space="preserve"> </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合规性评价</w:t>
            </w:r>
          </w:p>
        </w:tc>
        <w:tc>
          <w:tcPr>
            <w:tcW w:w="1093"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O:6.1.3</w:t>
            </w:r>
          </w:p>
          <w:p>
            <w:pPr>
              <w:pStyle w:val="2"/>
              <w:rPr>
                <w:rFonts w:hint="default"/>
                <w:lang w:val="en-US" w:eastAsia="zh-CN"/>
              </w:rPr>
            </w:pPr>
            <w:r>
              <w:rPr>
                <w:rFonts w:hint="eastAsia" w:ascii="宋体" w:hAnsi="宋体"/>
                <w:b w:val="0"/>
                <w:bCs w:val="0"/>
                <w:sz w:val="21"/>
                <w:szCs w:val="21"/>
                <w:lang w:val="en-US" w:eastAsia="zh-CN"/>
              </w:rPr>
              <w:t>O6.1.4</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O9.1.2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编制了《</w:t>
            </w:r>
            <w:r>
              <w:rPr>
                <w:rFonts w:hint="eastAsia" w:ascii="宋体" w:hAnsi="宋体"/>
                <w:szCs w:val="21"/>
              </w:rPr>
              <w:t>法律法规与其他要求获取、确认程序</w:t>
            </w:r>
            <w:r>
              <w:rPr>
                <w:rFonts w:hint="eastAsia" w:ascii="宋体" w:hAnsi="宋体" w:eastAsia="宋体" w:cs="Arial"/>
                <w:bCs w:val="0"/>
                <w:spacing w:val="0"/>
                <w:kern w:val="2"/>
                <w:sz w:val="21"/>
                <w:szCs w:val="21"/>
                <w:lang w:val="en-US" w:eastAsia="zh-CN" w:bidi="ar-SA"/>
              </w:rPr>
              <w:t>》</w:t>
            </w:r>
            <w:r>
              <w:rPr>
                <w:rFonts w:hint="eastAsia" w:ascii="宋体" w:hAnsi="宋体" w:cs="Arial"/>
                <w:bCs w:val="0"/>
                <w:spacing w:val="0"/>
                <w:kern w:val="2"/>
                <w:sz w:val="21"/>
                <w:szCs w:val="21"/>
                <w:lang w:val="en-US" w:eastAsia="zh-CN" w:bidi="ar-SA"/>
              </w:rPr>
              <w:t>、《</w:t>
            </w:r>
            <w:r>
              <w:rPr>
                <w:rFonts w:hint="eastAsia" w:ascii="宋体" w:hAnsi="宋体"/>
                <w:szCs w:val="21"/>
              </w:rPr>
              <w:t>合规性评价控制程序</w:t>
            </w:r>
            <w:r>
              <w:rPr>
                <w:rFonts w:hint="eastAsia" w:ascii="宋体" w:hAnsi="宋体" w:cs="Arial"/>
                <w:bCs w:val="0"/>
                <w:spacing w:val="0"/>
                <w:kern w:val="2"/>
                <w:sz w:val="21"/>
                <w:szCs w:val="21"/>
                <w:lang w:val="en-US" w:eastAsia="zh-CN" w:bidi="ar-SA"/>
              </w:rPr>
              <w:t>》</w:t>
            </w:r>
            <w:r>
              <w:rPr>
                <w:rFonts w:hint="eastAsia" w:ascii="宋体" w:hAnsi="宋体" w:eastAsia="宋体" w:cs="Arial"/>
                <w:bCs w:val="0"/>
                <w:spacing w:val="0"/>
                <w:kern w:val="2"/>
                <w:sz w:val="21"/>
                <w:szCs w:val="21"/>
                <w:lang w:val="en-US" w:eastAsia="zh-CN" w:bidi="ar-SA"/>
              </w:rPr>
              <w:t>，对法律法规的识别更新和应用进行规定。</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主要通过走访政府主管部门和行业协会等；到出版社、图书馆和专业书店购买相关书籍等；通过各种新闻媒体，如网络、报纸和杂志等多种形式收集本公司适用的法律法规。</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法律法规和其他要求清单：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50" w:afterAutospacing="0" w:line="15" w:lineRule="atLeast"/>
              <w:ind w:left="0" w:right="0" w:firstLine="420" w:firstLineChars="200"/>
              <w:jc w:val="both"/>
              <w:rPr>
                <w:rFonts w:hint="default"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识别出中华人民共和国产品质量法、中华人民共和国环境保护法、中华人民共和国环境噪声污染防治法、中华人民共和国大气污染防治法、中华人民共和国水污染防治法、中华人民共和国固体废物污染环境防治法、河北省劳动保障监察条例、中华人民共和国未成年人保护法、中华人民共和国消防法、河北省安全生产条例、中华人民共和国劳动法、中华人民共和国妇女权益保障法、中华人民共和国安全生产法、</w:t>
            </w: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https://www.baidu.com/link?url=yjSID3t7vhd-9eYtqEIR7vhXuQd_kNMxJleTfAMe3qJMrJfLMlLfyxp2mySBi2YRkwOLUgHeABWnBqd94c6rmnUYtlyyxFf4ixpcX249u5d8iQ2OOElWKZcG5GRK6xJQS7aVsxzlcHy1G-adyGkVZ2456bl7XkF0ePankBAhY4sSwtbR5qXfw15pxSrd1zymEjVmrVzxA_IZZSSV74XjXtFZdA_Gbd_0U8dLVtLI6xT9oOFkXVlklenY-ecFOKIsS7SxtfvlsBNBHrQBMkYMFK&amp;wd=&amp;eqid=95523b30001bde0c000000035cd91fbb" \t "https://www.baidu.com/_blank"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河</w:t>
            </w:r>
            <w:r>
              <w:rPr>
                <w:rFonts w:hint="eastAsia" w:ascii="Times New Roman" w:hAnsi="Times New Roman" w:eastAsia="宋体" w:cs="Times New Roman"/>
                <w:b w:val="0"/>
                <w:bCs w:val="0"/>
                <w:color w:val="auto"/>
                <w:kern w:val="2"/>
                <w:sz w:val="21"/>
                <w:szCs w:val="22"/>
                <w:highlight w:val="none"/>
                <w:lang w:val="en-US" w:eastAsia="zh-CN" w:bidi="ar-SA"/>
              </w:rPr>
              <w:t>北</w:t>
            </w:r>
            <w:r>
              <w:rPr>
                <w:rFonts w:hint="default" w:ascii="Times New Roman" w:hAnsi="Times New Roman" w:eastAsia="宋体" w:cs="Times New Roman"/>
                <w:b w:val="0"/>
                <w:bCs w:val="0"/>
                <w:color w:val="auto"/>
                <w:kern w:val="2"/>
                <w:sz w:val="21"/>
                <w:szCs w:val="22"/>
                <w:highlight w:val="none"/>
                <w:lang w:val="en-US" w:eastAsia="zh-CN" w:bidi="ar-SA"/>
              </w:rPr>
              <w:t>省城市生活垃圾处理管理办法</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hAnsi="Times New Roman" w:eastAsia="宋体" w:cs="Times New Roman"/>
                <w:b w:val="0"/>
                <w:bCs w:val="0"/>
                <w:color w:val="auto"/>
                <w:kern w:val="2"/>
                <w:sz w:val="21"/>
                <w:szCs w:val="22"/>
                <w:highlight w:val="none"/>
                <w:lang w:val="en-US" w:eastAsia="zh-CN" w:bidi="ar-SA"/>
              </w:rPr>
              <w:t>、产品标准GB/T8390-2007(单杠)、GB/T19851.2-2005(中小学体育器材和场地)GB/T8391-2007(双杠)等61项。基本符合。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已识别法律法规及其它要求的适用条款，并与环境因素、危险源进行了对应。</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公司通过培训、会议等方式向有关员工传达法律、法规及其它要求的相关要求。</w:t>
            </w:r>
          </w:p>
          <w:p>
            <w:pPr>
              <w:pStyle w:val="11"/>
              <w:rPr>
                <w:rFonts w:hint="eastAsia"/>
                <w:lang w:val="en-US" w:eastAsia="zh-CN"/>
              </w:rPr>
            </w:pPr>
            <w:r>
              <w:rPr>
                <w:rFonts w:hint="eastAsia"/>
                <w:lang w:val="en-US" w:eastAsia="zh-CN"/>
              </w:rPr>
              <w:drawing>
                <wp:inline distT="0" distB="0" distL="114300" distR="114300">
                  <wp:extent cx="2208530" cy="1547495"/>
                  <wp:effectExtent l="0" t="0" r="1270" b="6985"/>
                  <wp:docPr id="4" name="图片 4" descr="1646729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6729102(1)"/>
                          <pic:cNvPicPr>
                            <a:picLocks noChangeAspect="1"/>
                          </pic:cNvPicPr>
                        </pic:nvPicPr>
                        <pic:blipFill>
                          <a:blip r:embed="rId9"/>
                          <a:stretch>
                            <a:fillRect/>
                          </a:stretch>
                        </pic:blipFill>
                        <pic:spPr>
                          <a:xfrm>
                            <a:off x="0" y="0"/>
                            <a:ext cx="2208530" cy="15474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基本满足要求。</w:t>
            </w:r>
          </w:p>
          <w:p>
            <w:pPr>
              <w:pStyle w:val="11"/>
              <w:rPr>
                <w:rFonts w:hint="default" w:ascii="宋体" w:hAnsi="宋体" w:cs="Arial"/>
                <w:bC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Arial"/>
                <w:bCs w:val="0"/>
                <w:color w:val="000000" w:themeColor="text1"/>
                <w:spacing w:val="0"/>
                <w:kern w:val="2"/>
                <w:sz w:val="21"/>
                <w:szCs w:val="21"/>
                <w:lang w:val="en-US" w:eastAsia="zh-CN" w:bidi="ar-SA"/>
                <w14:textFill>
                  <w14:solidFill>
                    <w14:schemeClr w14:val="tx1"/>
                  </w14:solidFill>
                </w14:textFill>
              </w:rPr>
              <w:t xml:space="preserve">公司为职工缴纳社会保险及医疗保险, </w:t>
            </w: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查见：</w:t>
            </w:r>
          </w:p>
          <w:p>
            <w:pPr>
              <w:pStyle w:val="11"/>
              <w:rPr>
                <w:rFonts w:hint="default" w:ascii="宋体" w:hAnsi="宋体" w:cs="Arial"/>
                <w:bCs w:val="0"/>
                <w:color w:val="000000" w:themeColor="text1"/>
                <w:spacing w:val="0"/>
                <w:kern w:val="2"/>
                <w:sz w:val="21"/>
                <w:szCs w:val="21"/>
                <w:lang w:val="en-US" w:eastAsia="zh-CN" w:bidi="ar-SA"/>
                <w14:textFill>
                  <w14:solidFill>
                    <w14:schemeClr w14:val="tx1"/>
                  </w14:solidFill>
                </w14:textFill>
              </w:rPr>
            </w:pP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中华人民共和国税收完税证明，失业保险、工伤保险、基本养老保险No413065220200033380，2022年2月17日</w:t>
            </w:r>
          </w:p>
          <w:p>
            <w:pPr>
              <w:pStyle w:val="11"/>
              <w:rPr>
                <w:rFonts w:hint="default" w:cs="Times New Roman" w:eastAsiaTheme="minorEastAsia"/>
                <w:bCs/>
                <w:color w:val="FF0000"/>
                <w:spacing w:val="10"/>
                <w:kern w:val="2"/>
                <w:sz w:val="21"/>
                <w:szCs w:val="21"/>
                <w:lang w:val="en-US" w:eastAsia="zh-CN" w:bidi="ar-SA"/>
              </w:rPr>
            </w:pP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 xml:space="preserve"> </w:t>
            </w:r>
            <w:r>
              <w:rPr>
                <w:rFonts w:hint="default" w:ascii="宋体" w:hAnsi="宋体" w:cs="Arial"/>
                <w:bCs w:val="0"/>
                <w:color w:val="000000" w:themeColor="text1"/>
                <w:spacing w:val="0"/>
                <w:kern w:val="2"/>
                <w:sz w:val="21"/>
                <w:szCs w:val="21"/>
                <w:lang w:val="en-US" w:eastAsia="zh-CN" w:bidi="ar-SA"/>
                <w14:textFill>
                  <w14:solidFill>
                    <w14:schemeClr w14:val="tx1"/>
                  </w14:solidFill>
                </w14:textFill>
              </w:rPr>
              <w:drawing>
                <wp:inline distT="0" distB="0" distL="114300" distR="114300">
                  <wp:extent cx="2531110" cy="1299210"/>
                  <wp:effectExtent l="0" t="0" r="13970" b="11430"/>
                  <wp:docPr id="8" name="图片 8" descr="bfdcc413799531ab465a0691147e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fdcc413799531ab465a0691147e253"/>
                          <pic:cNvPicPr>
                            <a:picLocks noChangeAspect="1"/>
                          </pic:cNvPicPr>
                        </pic:nvPicPr>
                        <pic:blipFill>
                          <a:blip r:embed="rId10"/>
                          <a:stretch>
                            <a:fillRect/>
                          </a:stretch>
                        </pic:blipFill>
                        <pic:spPr>
                          <a:xfrm>
                            <a:off x="0" y="0"/>
                            <a:ext cx="2531110" cy="1299210"/>
                          </a:xfrm>
                          <a:prstGeom prst="rect">
                            <a:avLst/>
                          </a:prstGeom>
                        </pic:spPr>
                      </pic:pic>
                    </a:graphicData>
                  </a:graphic>
                </wp:inline>
              </w:drawing>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pacing w:val="-6"/>
                <w:sz w:val="21"/>
                <w:szCs w:val="21"/>
                <w:lang w:val="en-US" w:eastAsia="zh-CN"/>
              </w:rPr>
            </w:pPr>
            <w:r>
              <w:rPr>
                <w:rFonts w:hint="eastAsia" w:cs="Times New Roman"/>
                <w:color w:val="auto"/>
                <w:spacing w:val="-6"/>
                <w:sz w:val="21"/>
                <w:szCs w:val="21"/>
                <w:lang w:val="en-US" w:eastAsia="zh-CN"/>
              </w:rPr>
              <w:t>O</w:t>
            </w:r>
            <w:r>
              <w:rPr>
                <w:rFonts w:hint="default" w:ascii="Times New Roman" w:hAnsi="Times New Roman" w:cs="Times New Roman"/>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color w:val="auto"/>
                <w:spacing w:val="-6"/>
                <w:kern w:val="2"/>
                <w:sz w:val="21"/>
                <w:szCs w:val="21"/>
                <w:lang w:val="en-US" w:eastAsia="zh-CN" w:bidi="ar-SA"/>
              </w:rPr>
            </w:pPr>
            <w:r>
              <w:rPr>
                <w:rFonts w:hint="eastAsia" w:cs="Times New Roman"/>
                <w:color w:val="auto"/>
                <w:spacing w:val="-6"/>
                <w:sz w:val="21"/>
                <w:szCs w:val="21"/>
                <w:lang w:val="en-US" w:eastAsia="zh-CN"/>
              </w:rPr>
              <w:t>O</w:t>
            </w:r>
            <w:r>
              <w:rPr>
                <w:rFonts w:hint="default" w:ascii="Times New Roman" w:hAnsi="Times New Roman" w:cs="Times New Roman"/>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公司能保证必要的资源运行质量、环境、安全职业健康管理体系，截至</w:t>
            </w:r>
            <w:r>
              <w:rPr>
                <w:rFonts w:hint="eastAsia" w:cs="Times New Roman"/>
                <w:color w:val="auto"/>
                <w:szCs w:val="22"/>
                <w:highlight w:val="none"/>
                <w:lang w:val="en-US" w:eastAsia="zh-CN"/>
              </w:rPr>
              <w:t>2022年2月28日统计，质量、环境、职业健康安全环保投入3.03万元；基本满足。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w:t>
            </w:r>
            <w:r>
              <w:rPr>
                <w:rFonts w:hint="eastAsia" w:cs="Times New Roman"/>
                <w:color w:val="auto"/>
                <w:highlight w:val="none"/>
                <w:lang w:val="en-US" w:eastAsia="zh-CN"/>
              </w:rPr>
              <w:t>了</w:t>
            </w:r>
            <w:r>
              <w:rPr>
                <w:rFonts w:hint="default" w:ascii="Times New Roman" w:hAnsi="Times New Roman" w:cs="Times New Roman"/>
                <w:color w:val="auto"/>
                <w:highlight w:val="none"/>
                <w:lang w:val="en-US" w:eastAsia="zh-CN"/>
              </w:rPr>
              <w:t>《人力资源控制程序》，</w:t>
            </w:r>
            <w:r>
              <w:rPr>
                <w:rFonts w:hint="eastAsia" w:cs="Times New Roman"/>
                <w:color w:val="auto"/>
                <w:highlight w:val="none"/>
                <w:lang w:val="en-US" w:eastAsia="zh-CN"/>
              </w:rPr>
              <w:t>2021年12月10日实施</w:t>
            </w:r>
            <w:r>
              <w:rPr>
                <w:rFonts w:hint="default" w:ascii="Times New Roman" w:hAnsi="Times New Roman"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w:t>
            </w:r>
            <w:r>
              <w:rPr>
                <w:rFonts w:hint="eastAsia" w:cs="Times New Roman"/>
                <w:color w:val="auto"/>
                <w:spacing w:val="-6"/>
                <w:sz w:val="21"/>
                <w:szCs w:val="21"/>
                <w:highlight w:val="none"/>
                <w:lang w:val="en-US" w:eastAsia="zh-CN"/>
              </w:rPr>
              <w:t>5人，管理人员和</w:t>
            </w:r>
            <w:r>
              <w:rPr>
                <w:rFonts w:hint="default" w:ascii="Times New Roman" w:hAnsi="Times New Roman" w:cs="Times New Roman"/>
                <w:color w:val="auto"/>
                <w:spacing w:val="-6"/>
                <w:sz w:val="21"/>
                <w:szCs w:val="21"/>
                <w:highlight w:val="none"/>
                <w:lang w:val="en-US" w:eastAsia="zh-CN"/>
              </w:rPr>
              <w:t>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Cs w:val="21"/>
                <w:lang w:val="en-US" w:eastAsia="zh-CN"/>
              </w:rPr>
            </w:pPr>
            <w:r>
              <w:rPr>
                <w:rFonts w:hint="default" w:ascii="Times New Roman" w:hAnsi="Times New Roman" w:cs="Times New Roman"/>
                <w:color w:val="auto"/>
                <w:highlight w:val="none"/>
                <w:lang w:val="en-US" w:eastAsia="zh-CN"/>
              </w:rPr>
              <w:t>查见2021</w:t>
            </w:r>
            <w:r>
              <w:rPr>
                <w:rFonts w:hint="eastAsia" w:cs="Times New Roman"/>
                <w:color w:val="auto"/>
                <w:highlight w:val="none"/>
                <w:lang w:val="en-US" w:eastAsia="zh-CN"/>
              </w:rPr>
              <w:t>年12月10日制定的“QES</w:t>
            </w:r>
            <w:r>
              <w:rPr>
                <w:rFonts w:hint="default" w:ascii="Times New Roman" w:hAnsi="Times New Roman" w:cs="Times New Roman"/>
                <w:color w:val="auto"/>
                <w:highlight w:val="none"/>
                <w:lang w:val="en-US" w:eastAsia="zh-CN"/>
              </w:rPr>
              <w:t>年度培训计划</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 xml:space="preserve"> 2021年12月-2022年3月计划培训9次。内容有质量、</w:t>
            </w:r>
            <w:r>
              <w:rPr>
                <w:rFonts w:hint="eastAsia"/>
                <w:szCs w:val="21"/>
              </w:rPr>
              <w:t>环保、职业健康安全</w:t>
            </w:r>
            <w:r>
              <w:rPr>
                <w:rFonts w:hint="eastAsia"/>
                <w:szCs w:val="21"/>
                <w:lang w:val="en-US" w:eastAsia="zh-CN"/>
              </w:rPr>
              <w:t>标准及</w:t>
            </w:r>
            <w:r>
              <w:rPr>
                <w:rFonts w:hint="eastAsia"/>
                <w:szCs w:val="21"/>
              </w:rPr>
              <w:t>法律法规</w:t>
            </w:r>
            <w:r>
              <w:rPr>
                <w:rFonts w:hint="eastAsia"/>
                <w:szCs w:val="21"/>
                <w:lang w:eastAsia="zh-CN"/>
              </w:rPr>
              <w:t>、</w:t>
            </w:r>
            <w:r>
              <w:rPr>
                <w:rFonts w:hint="eastAsia"/>
                <w:szCs w:val="21"/>
                <w:lang w:val="en-US" w:eastAsia="zh-CN"/>
              </w:rPr>
              <w:t>内审员</w:t>
            </w:r>
            <w:r>
              <w:rPr>
                <w:rFonts w:hint="eastAsia"/>
                <w:szCs w:val="21"/>
              </w:rPr>
              <w:t>、</w:t>
            </w:r>
            <w:r>
              <w:rPr>
                <w:rFonts w:hint="eastAsia"/>
                <w:szCs w:val="21"/>
                <w:lang w:val="en-US" w:eastAsia="zh-CN"/>
              </w:rPr>
              <w:t>应急预案</w:t>
            </w:r>
            <w:r>
              <w:rPr>
                <w:rFonts w:hint="eastAsia"/>
                <w:szCs w:val="21"/>
                <w:lang w:eastAsia="zh-CN"/>
              </w:rPr>
              <w:t>、</w:t>
            </w:r>
            <w:r>
              <w:rPr>
                <w:rFonts w:hint="eastAsia" w:ascii="宋体" w:hAnsi="宋体"/>
                <w:szCs w:val="21"/>
              </w:rPr>
              <w:t>环境因素及危险源识别</w:t>
            </w:r>
            <w:r>
              <w:rPr>
                <w:rFonts w:hint="eastAsia"/>
                <w:szCs w:val="21"/>
                <w:lang w:val="en-US" w:eastAsia="zh-CN"/>
              </w:rPr>
              <w:t>、公司规章制度、继续教育培训</w:t>
            </w:r>
            <w:r>
              <w:rPr>
                <w:rFonts w:hint="eastAsia" w:ascii="宋体" w:hAnsi="宋体"/>
                <w:szCs w:val="21"/>
              </w:rPr>
              <w:t>岗位能力任职要求</w:t>
            </w:r>
            <w:r>
              <w:rPr>
                <w:rFonts w:hint="eastAsia"/>
                <w:szCs w:val="21"/>
                <w:lang w:val="en-US" w:eastAsia="zh-CN"/>
              </w:rPr>
              <w:t>等，有培训部门、培训方式、培训内容、考核方式，计划完成时间、负责人等，计划详细可行。</w:t>
            </w:r>
          </w:p>
          <w:p>
            <w:pPr>
              <w:pStyle w:val="2"/>
              <w:rPr>
                <w:rFonts w:hint="default"/>
                <w:lang w:val="en-US" w:eastAsia="zh-CN"/>
              </w:rPr>
            </w:pPr>
            <w:r>
              <w:rPr>
                <w:rFonts w:hint="default"/>
                <w:lang w:val="en-US" w:eastAsia="zh-CN"/>
              </w:rPr>
              <w:drawing>
                <wp:inline distT="0" distB="0" distL="114300" distR="114300">
                  <wp:extent cx="1965325" cy="1064895"/>
                  <wp:effectExtent l="0" t="0" r="635" b="1905"/>
                  <wp:docPr id="11" name="图片 11" descr="1646705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46705749(1)"/>
                          <pic:cNvPicPr>
                            <a:picLocks noChangeAspect="1"/>
                          </pic:cNvPicPr>
                        </pic:nvPicPr>
                        <pic:blipFill>
                          <a:blip r:embed="rId11"/>
                          <a:stretch>
                            <a:fillRect/>
                          </a:stretch>
                        </pic:blipFill>
                        <pic:spPr>
                          <a:xfrm>
                            <a:off x="0" y="0"/>
                            <a:ext cx="1965325" cy="106489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查“培训记录表”，抽见：</w:t>
            </w:r>
          </w:p>
          <w:p>
            <w:pPr>
              <w:ind w:firstLine="420" w:firstLineChars="200"/>
              <w:rPr>
                <w:rFonts w:hint="eastAsia" w:ascii="Times New Roman" w:hAnsi="Times New Roman"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auto"/>
                <w:kern w:val="2"/>
                <w:sz w:val="21"/>
                <w:szCs w:val="22"/>
                <w:highlight w:val="none"/>
                <w:lang w:val="en-US" w:eastAsia="zh-CN" w:bidi="ar-SA"/>
              </w:rPr>
              <w:t>ISO9001：2015、ISO14001：2015、ISO45001:2018系列标准</w:t>
            </w:r>
            <w:r>
              <w:rPr>
                <w:rFonts w:hint="eastAsia" w:cs="Times New Roman"/>
                <w:color w:val="auto"/>
                <w:kern w:val="2"/>
                <w:sz w:val="21"/>
                <w:szCs w:val="22"/>
                <w:highlight w:val="none"/>
                <w:lang w:val="en-US" w:eastAsia="zh-CN" w:bidi="ar-SA"/>
              </w:rPr>
              <w:t>学习</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2021</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12.12</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p>
          <w:p>
            <w:pPr>
              <w:ind w:firstLine="420" w:firstLineChars="20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内审员培训——</w:t>
            </w:r>
            <w:r>
              <w:rPr>
                <w:rFonts w:hint="default" w:ascii="Times New Roman" w:hAnsi="Times New Roman" w:eastAsia="宋体" w:cs="Times New Roman"/>
                <w:color w:val="auto"/>
                <w:kern w:val="2"/>
                <w:sz w:val="21"/>
                <w:szCs w:val="22"/>
                <w:highlight w:val="none"/>
                <w:lang w:val="en-US" w:eastAsia="zh-CN" w:bidi="ar-SA"/>
              </w:rPr>
              <w:t>2021.</w:t>
            </w:r>
            <w:r>
              <w:rPr>
                <w:rFonts w:hint="eastAsia" w:cs="Times New Roman"/>
                <w:color w:val="auto"/>
                <w:kern w:val="2"/>
                <w:sz w:val="21"/>
                <w:szCs w:val="22"/>
                <w:highlight w:val="none"/>
                <w:lang w:val="en-US" w:eastAsia="zh-CN" w:bidi="ar-SA"/>
              </w:rPr>
              <w:t>12.20</w:t>
            </w:r>
            <w:r>
              <w:rPr>
                <w:rFonts w:hint="eastAsia" w:ascii="Times New Roman" w:hAnsi="Times New Roman" w:eastAsia="宋体" w:cs="Times New Roman"/>
                <w:color w:val="auto"/>
                <w:kern w:val="2"/>
                <w:sz w:val="21"/>
                <w:szCs w:val="22"/>
                <w:highlight w:val="none"/>
                <w:lang w:val="en-US" w:eastAsia="zh-CN" w:bidi="ar-SA"/>
              </w:rPr>
              <w:t>；</w:t>
            </w:r>
          </w:p>
          <w:p>
            <w:pPr>
              <w:ind w:firstLine="420" w:firstLineChars="200"/>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szCs w:val="21"/>
                <w:lang w:val="en-US" w:eastAsia="zh-CN"/>
              </w:rPr>
              <w:t>公司应急预案</w:t>
            </w:r>
            <w:r>
              <w:rPr>
                <w:rFonts w:hint="eastAsia" w:ascii="Times New Roman" w:hAnsi="Times New Roman" w:eastAsia="宋体" w:cs="Times New Roman"/>
                <w:color w:val="auto"/>
                <w:kern w:val="2"/>
                <w:sz w:val="21"/>
                <w:szCs w:val="22"/>
                <w:highlight w:val="none"/>
                <w:lang w:val="en-US" w:eastAsia="zh-CN" w:bidi="ar-SA"/>
              </w:rPr>
              <w:t>——</w:t>
            </w:r>
            <w:r>
              <w:rPr>
                <w:rFonts w:hint="default" w:ascii="Times New Roman" w:hAnsi="Times New Roman" w:eastAsia="宋体" w:cs="Times New Roman"/>
                <w:color w:val="auto"/>
                <w:kern w:val="2"/>
                <w:sz w:val="21"/>
                <w:szCs w:val="22"/>
                <w:highlight w:val="none"/>
                <w:lang w:val="en-US" w:eastAsia="zh-CN" w:bidi="ar-SA"/>
              </w:rPr>
              <w:t>2021.</w:t>
            </w:r>
            <w:r>
              <w:rPr>
                <w:rFonts w:hint="eastAsia" w:cs="Times New Roman"/>
                <w:color w:val="auto"/>
                <w:kern w:val="2"/>
                <w:sz w:val="21"/>
                <w:szCs w:val="22"/>
                <w:highlight w:val="none"/>
                <w:lang w:val="en-US" w:eastAsia="zh-CN" w:bidi="ar-SA"/>
              </w:rPr>
              <w:t>1</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18</w:t>
            </w:r>
            <w:r>
              <w:rPr>
                <w:rFonts w:hint="eastAsia" w:ascii="Times New Roman" w:hAnsi="Times New Roman" w:eastAsia="宋体" w:cs="Times New Roman"/>
                <w:color w:val="auto"/>
                <w:kern w:val="2"/>
                <w:sz w:val="21"/>
                <w:szCs w:val="22"/>
                <w:highlight w:val="none"/>
                <w:lang w:val="en-US" w:eastAsia="zh-CN" w:bidi="ar-SA"/>
              </w:rPr>
              <w:t>；</w:t>
            </w:r>
          </w:p>
          <w:p>
            <w:pPr>
              <w:ind w:firstLine="420" w:firstLineChars="200"/>
              <w:rPr>
                <w:rFonts w:hint="eastAsia" w:ascii="Times New Roman" w:hAnsi="Times New Roman" w:cs="Times New Roman"/>
                <w:color w:val="FF0000"/>
                <w:szCs w:val="22"/>
                <w:highlight w:val="none"/>
                <w:lang w:val="en-US" w:eastAsia="zh-CN"/>
              </w:rPr>
            </w:pPr>
            <w:r>
              <w:rPr>
                <w:rFonts w:hint="eastAsia" w:ascii="宋体" w:hAnsi="宋体"/>
                <w:szCs w:val="21"/>
              </w:rPr>
              <w:t>宣传贯彻公司管理手册、程序文件内容</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202</w:t>
            </w:r>
            <w:r>
              <w:rPr>
                <w:rFonts w:hint="eastAsia" w:cs="Times New Roman"/>
                <w:color w:val="000000" w:themeColor="text1"/>
                <w:szCs w:val="22"/>
                <w:highlight w:val="none"/>
                <w:lang w:val="en-US" w:eastAsia="zh-CN"/>
                <w14:textFill>
                  <w14:solidFill>
                    <w14:schemeClr w14:val="tx1"/>
                  </w14:solidFill>
                </w14:textFill>
              </w:rPr>
              <w:t>2</w:t>
            </w:r>
            <w:r>
              <w:rPr>
                <w:rFonts w:hint="default" w:ascii="Times New Roman" w:hAnsi="Times New Roman" w:cs="Times New Roman"/>
                <w:color w:val="000000" w:themeColor="text1"/>
                <w:szCs w:val="22"/>
                <w:highlight w:val="none"/>
                <w:lang w:val="en-US"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1.25</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ascii="宋体" w:hAnsi="宋体"/>
                <w:szCs w:val="21"/>
              </w:rPr>
              <w:t>环境因素及危险源识别</w:t>
            </w:r>
            <w:r>
              <w:rPr>
                <w:rFonts w:hint="eastAsia" w:ascii="Times New Roman" w:hAnsi="Times New Roman" w:eastAsia="宋体" w:cs="Times New Roman"/>
                <w:color w:val="auto"/>
                <w:kern w:val="2"/>
                <w:sz w:val="21"/>
                <w:szCs w:val="22"/>
                <w:highlight w:val="none"/>
                <w:lang w:val="en-US" w:eastAsia="zh-CN" w:bidi="ar-SA"/>
              </w:rPr>
              <w:t>——202</w:t>
            </w:r>
            <w:r>
              <w:rPr>
                <w:rFonts w:hint="eastAsia" w:cs="Times New Roman"/>
                <w:color w:val="auto"/>
                <w:kern w:val="2"/>
                <w:sz w:val="21"/>
                <w:szCs w:val="22"/>
                <w:highlight w:val="none"/>
                <w:lang w:val="en-US" w:eastAsia="zh-CN" w:bidi="ar-SA"/>
              </w:rPr>
              <w:t>2</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2.10</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000000" w:themeColor="text1"/>
                <w:szCs w:val="22"/>
                <w:highlight w:val="none"/>
                <w:lang w:val="en-US" w:eastAsia="zh-CN"/>
                <w14:textFill>
                  <w14:solidFill>
                    <w14:schemeClr w14:val="tx1"/>
                  </w14:solidFill>
                </w14:textFill>
              </w:rPr>
            </w:pPr>
            <w:r>
              <w:rPr>
                <w:rFonts w:hint="default" w:ascii="Times New Roman" w:hAnsi="Times New Roman" w:cs="Times New Roman"/>
                <w:color w:val="000000" w:themeColor="text1"/>
                <w:szCs w:val="22"/>
                <w:highlight w:val="none"/>
                <w:lang w:val="en-US" w:eastAsia="zh-CN"/>
                <w14:textFill>
                  <w14:solidFill>
                    <w14:schemeClr w14:val="tx1"/>
                  </w14:solidFill>
                </w14:textFill>
              </w:rPr>
              <w:t>考核及评价记录显示对培训效果进行了评价，培训达到预期的目的。</w:t>
            </w:r>
          </w:p>
          <w:p>
            <w:pPr>
              <w:pStyle w:val="4"/>
              <w:rPr>
                <w:rFonts w:hint="eastAsia" w:cs="Times New Roman"/>
                <w:color w:val="000000" w:themeColor="text1"/>
                <w:szCs w:val="22"/>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公司2021年12月-今无新分员工。</w:t>
            </w:r>
            <w:r>
              <w:rPr>
                <w:rFonts w:hint="eastAsia" w:cs="Times New Roman"/>
                <w:color w:val="000000" w:themeColor="text1"/>
                <w:szCs w:val="22"/>
                <w:highlight w:val="none"/>
                <w:lang w:val="en-US" w:eastAsia="zh-CN"/>
                <w14:textFill>
                  <w14:solidFill>
                    <w14:schemeClr w14:val="tx1"/>
                  </w14:solidFill>
                </w14:textFill>
              </w:rPr>
              <w:t xml:space="preserve"> </w:t>
            </w:r>
          </w:p>
          <w:p>
            <w:pPr>
              <w:pStyle w:val="4"/>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抽查员工健康体检报告</w:t>
            </w:r>
          </w:p>
          <w:p>
            <w:pPr>
              <w:pStyle w:val="4"/>
              <w:ind w:left="0" w:leftChars="0" w:firstLine="0" w:firstLineChars="0"/>
              <w:rPr>
                <w:rFonts w:hint="default"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张增岐--体检代码2021072263--体检时间2021.7.22--总检报告-体检结果大致正常--保定市第一中心医院</w:t>
            </w:r>
          </w:p>
          <w:p>
            <w:pPr>
              <w:pStyle w:val="4"/>
              <w:ind w:left="0" w:leftChars="0" w:firstLine="0" w:firstLineChars="0"/>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高彩红--体检代码2021072264--体检时间2021.7.22--总检报告-体检结果大致正常--保定市第一中心医院</w:t>
            </w:r>
          </w:p>
          <w:p>
            <w:pPr>
              <w:pStyle w:val="4"/>
              <w:ind w:left="0" w:leftChars="0" w:firstLine="0" w:firstLineChars="0"/>
              <w:rPr>
                <w:rFonts w:hint="default"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张志坤--体检代码2021072262--体检时间2021.7.22--总检报告-体检结果大致正常--保定市第一中心医院</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以及因自己岗位职责疏忽带来不符合给公司环境安全承诺带来的后果。</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w:t>
            </w:r>
            <w:r>
              <w:rPr>
                <w:rFonts w:hint="eastAsia" w:cs="Times New Roman"/>
                <w:color w:val="auto"/>
                <w:szCs w:val="22"/>
                <w:highlight w:val="none"/>
                <w:lang w:val="en-US" w:eastAsia="zh-CN"/>
              </w:rPr>
              <w:t>基本</w:t>
            </w:r>
            <w:r>
              <w:rPr>
                <w:rFonts w:hint="default" w:ascii="Times New Roman" w:hAnsi="Times New Roman" w:cs="Times New Roman"/>
                <w:color w:val="auto"/>
                <w:szCs w:val="22"/>
                <w:highlight w:val="none"/>
                <w:lang w:val="en-US" w:eastAsia="zh-CN"/>
              </w:rPr>
              <w:t>明确自身职责及岗位要求，自身工作影响，如何减少环境污染，员工人身安全意识等。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00" w:themeColor="text1"/>
                <w:kern w:val="2"/>
                <w:sz w:val="21"/>
                <w:lang w:val="en-US" w:eastAsia="zh-CN" w:bidi="ar-SA"/>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rPr>
            </w:pPr>
            <w:r>
              <w:rPr>
                <w:rFonts w:hint="default"/>
              </w:rPr>
              <w:t>运行策划和控制</w:t>
            </w:r>
          </w:p>
          <w:p>
            <w:pPr>
              <w:pStyle w:val="2"/>
              <w:rPr>
                <w:rFonts w:hint="default" w:eastAsia="宋体"/>
                <w:lang w:val="en-US" w:eastAsia="zh-CN"/>
              </w:rPr>
            </w:pPr>
            <w:r>
              <w:rPr>
                <w:rFonts w:hint="eastAsia" w:cs="Times New Roman"/>
                <w:color w:val="auto"/>
                <w:spacing w:val="-6"/>
                <w:sz w:val="21"/>
                <w:szCs w:val="21"/>
                <w:u w:val="none"/>
                <w:lang w:val="en-US" w:eastAsia="zh-CN"/>
              </w:rPr>
              <w:t xml:space="preserve"> </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rPr>
            </w:pPr>
            <w:r>
              <w:rPr>
                <w:rFonts w:hint="eastAsia"/>
                <w:lang w:val="en-US" w:eastAsia="zh-CN"/>
              </w:rPr>
              <w:t>O</w:t>
            </w:r>
            <w:r>
              <w:rPr>
                <w:rFonts w:hint="default"/>
                <w:lang w:val="en-US" w:eastAsia="zh-CN"/>
              </w:rPr>
              <w:t>:</w:t>
            </w:r>
            <w:r>
              <w:rPr>
                <w:rFonts w:hint="default"/>
              </w:rPr>
              <w:t>8.1</w:t>
            </w:r>
          </w:p>
          <w:p>
            <w:pPr>
              <w:pStyle w:val="2"/>
              <w:rPr>
                <w:rFonts w:hint="default" w:eastAsia="宋体"/>
                <w:lang w:val="en-US" w:eastAsia="zh-CN"/>
              </w:rPr>
            </w:pPr>
            <w:r>
              <w:rPr>
                <w:rFonts w:hint="eastAsia"/>
                <w:lang w:val="en-US" w:eastAsia="zh-CN"/>
              </w:rPr>
              <w:t xml:space="preserve"> </w:t>
            </w:r>
          </w:p>
        </w:tc>
        <w:tc>
          <w:tcPr>
            <w:tcW w:w="10004"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w:t>
            </w:r>
            <w:r>
              <w:rPr>
                <w:rFonts w:hint="eastAsia" w:ascii="宋体" w:hAnsi="宋体"/>
                <w:szCs w:val="21"/>
              </w:rPr>
              <w:t>服务过程控制程序</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环境因素的识别与评价控制程序</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采购</w:t>
            </w:r>
            <w:r>
              <w:rPr>
                <w:rFonts w:hint="default" w:ascii="Times New Roman" w:hAnsi="Times New Roman" w:cs="Times New Roman"/>
                <w:color w:val="auto"/>
                <w:szCs w:val="22"/>
                <w:highlight w:val="none"/>
                <w:lang w:val="en-US" w:eastAsia="zh-CN"/>
              </w:rPr>
              <w:t>控制程序、</w:t>
            </w:r>
            <w:r>
              <w:rPr>
                <w:rFonts w:hint="eastAsia" w:ascii="宋体" w:hAnsi="宋体"/>
                <w:szCs w:val="21"/>
              </w:rPr>
              <w:t>废弃物处理控制程序</w:t>
            </w: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岗位任职要求</w:t>
            </w:r>
            <w:r>
              <w:rPr>
                <w:rFonts w:hint="default" w:ascii="Times New Roman" w:hAnsi="Times New Roman" w:cs="Times New Roman"/>
                <w:color w:val="auto"/>
                <w:szCs w:val="22"/>
                <w:highlight w:val="none"/>
                <w:lang w:val="en-US" w:eastAsia="zh-CN"/>
              </w:rPr>
              <w:t>、应急准备和响应控制程序</w:t>
            </w:r>
            <w:r>
              <w:rPr>
                <w:rFonts w:hint="eastAsia" w:cs="Times New Roman"/>
                <w:color w:val="auto"/>
                <w:szCs w:val="22"/>
                <w:highlight w:val="none"/>
                <w:lang w:val="en-US" w:eastAsia="zh-CN"/>
              </w:rPr>
              <w:t>、</w:t>
            </w:r>
            <w:r>
              <w:rPr>
                <w:rFonts w:hint="eastAsia" w:ascii="宋体" w:hAnsi="宋体"/>
                <w:szCs w:val="21"/>
              </w:rPr>
              <w:t>职业健康安全运行控制程序</w:t>
            </w:r>
            <w:r>
              <w:rPr>
                <w:rFonts w:hint="default" w:ascii="Times New Roman" w:hAnsi="Times New Roman" w:cs="Times New Roman"/>
                <w:color w:val="auto"/>
                <w:szCs w:val="22"/>
                <w:highlight w:val="none"/>
                <w:lang w:val="en-US" w:eastAsia="zh-CN"/>
              </w:rPr>
              <w:t>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spacing w:val="-6"/>
                <w:sz w:val="21"/>
                <w:szCs w:val="21"/>
                <w:highlight w:val="none"/>
                <w:lang w:val="en-US" w:eastAsia="zh-CN"/>
              </w:rPr>
              <w:t>办公工作场所布局合理，座椅和办公桌符合人体工程学要求，工间能适当走动、休息；办</w:t>
            </w:r>
            <w:r>
              <w:rPr>
                <w:rFonts w:hint="eastAsia" w:ascii="宋体" w:hAnsi="宋体" w:eastAsia="宋体" w:cs="Arial"/>
                <w:color w:val="auto"/>
                <w:spacing w:val="-6"/>
                <w:kern w:val="2"/>
                <w:sz w:val="21"/>
                <w:szCs w:val="21"/>
                <w:highlight w:val="none"/>
                <w:lang w:val="en-US" w:eastAsia="zh-CN" w:bidi="ar-SA"/>
              </w:rPr>
              <w:t>公环境光照、温度适宜，通风良好，基本满足办公需求；</w:t>
            </w:r>
            <w:r>
              <w:rPr>
                <w:rFonts w:hint="default" w:ascii="宋体" w:hAnsi="宋体" w:eastAsia="宋体" w:cs="Arial"/>
                <w:color w:val="auto"/>
                <w:spacing w:val="-6"/>
                <w:kern w:val="2"/>
                <w:sz w:val="21"/>
                <w:szCs w:val="21"/>
                <w:highlight w:val="none"/>
                <w:lang w:val="en-US" w:eastAsia="zh-CN" w:bidi="ar-SA"/>
              </w:rPr>
              <w:t>电路、电源正常，未见用电不当等安全隐患及不良影响现象。</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color w:val="auto"/>
                <w:spacing w:val="-6"/>
                <w:kern w:val="2"/>
                <w:sz w:val="21"/>
                <w:szCs w:val="21"/>
                <w:highlight w:val="none"/>
                <w:lang w:val="en-US" w:eastAsia="zh-CN" w:bidi="ar-SA"/>
              </w:rPr>
            </w:pPr>
            <w:r>
              <w:rPr>
                <w:rFonts w:hint="eastAsia" w:ascii="宋体" w:hAnsi="宋体" w:cs="Arial"/>
                <w:color w:val="auto"/>
                <w:spacing w:val="-6"/>
                <w:kern w:val="2"/>
                <w:sz w:val="21"/>
                <w:szCs w:val="21"/>
                <w:highlight w:val="none"/>
                <w:lang w:val="en-US" w:eastAsia="zh-CN" w:bidi="ar-SA"/>
              </w:rPr>
              <w:t>楼道内有消火栓及</w:t>
            </w:r>
            <w:r>
              <w:rPr>
                <w:rFonts w:hint="default" w:ascii="宋体" w:hAnsi="宋体" w:eastAsia="宋体" w:cs="Arial"/>
                <w:color w:val="auto"/>
                <w:spacing w:val="-6"/>
                <w:kern w:val="2"/>
                <w:sz w:val="21"/>
                <w:szCs w:val="21"/>
                <w:highlight w:val="none"/>
                <w:lang w:val="en-US" w:eastAsia="zh-CN" w:bidi="ar-SA"/>
              </w:rPr>
              <w:t>有灭火器，状态良好</w:t>
            </w:r>
            <w:r>
              <w:rPr>
                <w:rFonts w:hint="eastAsia" w:ascii="宋体" w:hAnsi="宋体" w:cs="Arial"/>
                <w:color w:val="auto"/>
                <w:spacing w:val="-6"/>
                <w:kern w:val="2"/>
                <w:sz w:val="21"/>
                <w:szCs w:val="21"/>
                <w:highlight w:val="none"/>
                <w:lang w:val="en-US" w:eastAsia="zh-CN" w:bidi="ar-SA"/>
              </w:rPr>
              <w:t xml:space="preserve"> </w:t>
            </w:r>
            <w:r>
              <w:rPr>
                <w:rFonts w:hint="eastAsia" w:ascii="宋体" w:hAnsi="宋体" w:eastAsia="宋体" w:cs="Arial"/>
                <w:color w:val="auto"/>
                <w:spacing w:val="-6"/>
                <w:kern w:val="2"/>
                <w:sz w:val="21"/>
                <w:szCs w:val="21"/>
                <w:highlight w:val="none"/>
                <w:lang w:val="en-US" w:eastAsia="zh-CN" w:bidi="ar-SA"/>
              </w:rPr>
              <w:t>。</w:t>
            </w:r>
          </w:p>
          <w:p>
            <w:pPr>
              <w:pStyle w:val="2"/>
              <w:rPr>
                <w:rFonts w:hint="eastAsia" w:ascii="宋体" w:hAnsi="宋体" w:eastAsia="宋体" w:cs="Arial"/>
                <w:color w:val="auto"/>
                <w:spacing w:val="-6"/>
                <w:kern w:val="2"/>
                <w:sz w:val="21"/>
                <w:szCs w:val="21"/>
                <w:highlight w:val="none"/>
                <w:lang w:val="en-US" w:eastAsia="zh-CN" w:bidi="ar-SA"/>
              </w:rPr>
            </w:pPr>
            <w:r>
              <w:rPr>
                <w:rFonts w:hint="eastAsia"/>
                <w:lang w:val="en-US" w:eastAsia="zh-CN"/>
              </w:rPr>
              <w:drawing>
                <wp:inline distT="0" distB="0" distL="114300" distR="114300">
                  <wp:extent cx="1470025" cy="1323975"/>
                  <wp:effectExtent l="0" t="0" r="8255" b="1905"/>
                  <wp:docPr id="12" name="图片 12" descr="06d98e586d69240689c1e4bcbbe6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6d98e586d69240689c1e4bcbbe6c9c"/>
                          <pic:cNvPicPr>
                            <a:picLocks noChangeAspect="1"/>
                          </pic:cNvPicPr>
                        </pic:nvPicPr>
                        <pic:blipFill>
                          <a:blip r:embed="rId12"/>
                          <a:stretch>
                            <a:fillRect/>
                          </a:stretch>
                        </pic:blipFill>
                        <pic:spPr>
                          <a:xfrm>
                            <a:off x="0" y="0"/>
                            <a:ext cx="1470025" cy="1323975"/>
                          </a:xfrm>
                          <a:prstGeom prst="rect">
                            <a:avLst/>
                          </a:prstGeom>
                        </pic:spPr>
                      </pic:pic>
                    </a:graphicData>
                  </a:graphic>
                </wp:inline>
              </w:drawing>
            </w:r>
          </w:p>
          <w:p>
            <w:pPr>
              <w:pStyle w:val="4"/>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Arial"/>
                <w:color w:val="auto"/>
                <w:spacing w:val="-6"/>
                <w:kern w:val="2"/>
                <w:sz w:val="21"/>
                <w:szCs w:val="21"/>
                <w:highlight w:val="none"/>
                <w:lang w:val="en-US" w:eastAsia="zh-CN" w:bidi="ar-SA"/>
              </w:rPr>
              <w:t>查见</w:t>
            </w:r>
            <w:r>
              <w:rPr>
                <w:rFonts w:hint="eastAsia" w:ascii="宋体" w:hAnsi="宋体" w:cs="Arial"/>
                <w:color w:val="auto"/>
                <w:spacing w:val="-6"/>
                <w:kern w:val="2"/>
                <w:sz w:val="21"/>
                <w:szCs w:val="21"/>
                <w:highlight w:val="none"/>
                <w:lang w:val="en-US" w:eastAsia="zh-CN" w:bidi="ar-SA"/>
              </w:rPr>
              <w:t>办公室办公垃圾</w:t>
            </w:r>
            <w:r>
              <w:rPr>
                <w:rFonts w:hint="eastAsia" w:ascii="宋体" w:hAnsi="宋体" w:eastAsia="宋体" w:cs="Arial"/>
                <w:color w:val="auto"/>
                <w:spacing w:val="-6"/>
                <w:kern w:val="2"/>
                <w:sz w:val="21"/>
                <w:szCs w:val="21"/>
                <w:highlight w:val="none"/>
                <w:lang w:val="en-US" w:eastAsia="zh-CN" w:bidi="ar-SA"/>
              </w:rPr>
              <w:t>固体</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每天投放到物业指定地点，电子垃圾半年收集一次统一处理 。</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eastAsia" w:eastAsia="宋体" w:cs="Times New Roman"/>
                <w:color w:val="auto"/>
                <w:szCs w:val="22"/>
                <w:highlight w:val="none"/>
                <w:lang w:val="en-US" w:eastAsia="zh-CN"/>
              </w:rPr>
            </w:pP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与相关方的信息交流</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情况，</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2021年</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12</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月1</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0</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日</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相关方环境、职业健康安全告知书</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进行了环境和职业健康安全有关事项的沟通。</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与</w:t>
            </w:r>
            <w:r>
              <w:rPr>
                <w:rFonts w:hint="eastAsia" w:ascii="宋体" w:hAnsi="宋体" w:eastAsia="宋体" w:cs="宋体"/>
                <w:lang w:val="en-US" w:eastAsia="zh-CN"/>
              </w:rPr>
              <w:t>保定墨辰箱包皮具制造有限公司、河北瑞盛铭搏武术器材有限公司</w:t>
            </w:r>
            <w:r>
              <w:rPr>
                <w:rFonts w:hint="eastAsia" w:ascii="宋体" w:hAnsi="宋体" w:eastAsia="宋体" w:cs="Arial"/>
                <w:color w:val="auto"/>
                <w:spacing w:val="-6"/>
                <w:kern w:val="2"/>
                <w:sz w:val="21"/>
                <w:szCs w:val="21"/>
                <w:highlight w:val="none"/>
                <w:lang w:val="en-US" w:eastAsia="zh-CN" w:bidi="ar-SA"/>
              </w:rPr>
              <w:t xml:space="preserve">沟通了体系建立运行的情况。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pacing w:val="-6"/>
                <w:sz w:val="21"/>
                <w:szCs w:val="21"/>
                <w:u w:val="none"/>
                <w:lang w:val="en-US" w:eastAsia="zh-CN"/>
              </w:rPr>
            </w:pPr>
            <w:r>
              <w:rPr>
                <w:rFonts w:hint="eastAsia" w:cs="Times New Roman"/>
                <w:color w:val="auto"/>
                <w:spacing w:val="-6"/>
                <w:sz w:val="21"/>
                <w:szCs w:val="21"/>
                <w:u w:val="none"/>
                <w:lang w:val="en-US" w:eastAsia="zh-CN"/>
              </w:rPr>
              <w:t>成文信息</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val="en-US" w:eastAsia="zh-CN"/>
              </w:rPr>
            </w:pPr>
            <w:r>
              <w:rPr>
                <w:rFonts w:hint="eastAsia"/>
                <w:lang w:val="en-US" w:eastAsia="zh-CN"/>
              </w:rPr>
              <w:t>O7.5.1</w:t>
            </w:r>
          </w:p>
          <w:p>
            <w:pPr>
              <w:pStyle w:val="2"/>
              <w:rPr>
                <w:rFonts w:hint="eastAsia" w:cs="Times New Roman"/>
                <w:color w:val="auto"/>
                <w:spacing w:val="-6"/>
                <w:sz w:val="21"/>
                <w:szCs w:val="21"/>
                <w:u w:val="none"/>
                <w:lang w:val="en-US" w:eastAsia="zh-CN"/>
              </w:rPr>
            </w:pPr>
            <w:r>
              <w:rPr>
                <w:rFonts w:hint="eastAsia" w:cs="Times New Roman"/>
                <w:color w:val="auto"/>
                <w:spacing w:val="-6"/>
                <w:sz w:val="21"/>
                <w:szCs w:val="21"/>
                <w:u w:val="none"/>
                <w:lang w:val="en-US" w:eastAsia="zh-CN"/>
              </w:rPr>
              <w:t>O7.5.2</w:t>
            </w:r>
          </w:p>
          <w:p>
            <w:pPr>
              <w:pStyle w:val="2"/>
              <w:rPr>
                <w:rFonts w:hint="default" w:cs="Times New Roman"/>
                <w:color w:val="auto"/>
                <w:spacing w:val="-6"/>
                <w:sz w:val="21"/>
                <w:szCs w:val="21"/>
                <w:u w:val="none"/>
                <w:lang w:val="en-US" w:eastAsia="zh-CN"/>
              </w:rPr>
            </w:pPr>
            <w:r>
              <w:rPr>
                <w:rFonts w:hint="eastAsia" w:cs="Times New Roman"/>
                <w:color w:val="auto"/>
                <w:spacing w:val="-6"/>
                <w:sz w:val="21"/>
                <w:szCs w:val="21"/>
                <w:u w:val="none"/>
                <w:lang w:val="en-US" w:eastAsia="zh-CN"/>
              </w:rPr>
              <w:t xml:space="preserve"> </w:t>
            </w:r>
          </w:p>
        </w:tc>
        <w:tc>
          <w:tcPr>
            <w:tcW w:w="10004"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为应对风险和机遇，公司依据GB/T19001-2016、GB/T24001-2016、GB/T45001-2020标准的要求并结合本公司的具体情况，采取PDCA的过程方法，建立、实施、保持并持续改进环境、职业健康安全管理体系。</w:t>
            </w:r>
          </w:p>
          <w:p>
            <w:pPr>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策划了公司的管理体系文件，包括：</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w:t>
            </w:r>
            <w:r>
              <w:rPr>
                <w:rFonts w:hint="eastAsia" w:cs="Times New Roman"/>
                <w:color w:val="auto"/>
                <w:szCs w:val="22"/>
                <w:highlight w:val="none"/>
                <w:lang w:val="en-US" w:eastAsia="zh-CN"/>
              </w:rPr>
              <w:t>A/1</w:t>
            </w:r>
            <w:r>
              <w:rPr>
                <w:rFonts w:hint="eastAsia" w:ascii="Times New Roman" w:hAnsi="Times New Roman" w:cs="Times New Roman"/>
                <w:color w:val="auto"/>
                <w:szCs w:val="22"/>
                <w:highlight w:val="none"/>
                <w:lang w:val="en-US" w:eastAsia="zh-CN"/>
              </w:rPr>
              <w:t>版，管理体系于202</w:t>
            </w:r>
            <w:r>
              <w:rPr>
                <w:rFonts w:hint="eastAsia" w:cs="Times New Roman"/>
                <w:color w:val="auto"/>
                <w:szCs w:val="22"/>
                <w:highlight w:val="none"/>
                <w:lang w:val="en-US" w:eastAsia="zh-CN"/>
              </w:rPr>
              <w:t>0</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12</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日发布实施；</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w:t>
            </w:r>
            <w:r>
              <w:rPr>
                <w:rFonts w:hint="eastAsia" w:cs="Times New Roman"/>
                <w:color w:val="auto"/>
                <w:szCs w:val="22"/>
                <w:highlight w:val="none"/>
                <w:lang w:val="en-US" w:eastAsia="zh-CN"/>
              </w:rPr>
              <w:t>25</w:t>
            </w:r>
            <w:r>
              <w:rPr>
                <w:rFonts w:hint="eastAsia" w:ascii="Times New Roman" w:hAnsi="Times New Roman" w:cs="Times New Roman"/>
                <w:color w:val="auto"/>
                <w:szCs w:val="22"/>
                <w:highlight w:val="none"/>
                <w:lang w:val="en-US" w:eastAsia="zh-CN"/>
              </w:rPr>
              <w:t>个，版本号：</w:t>
            </w:r>
            <w:r>
              <w:rPr>
                <w:rFonts w:hint="eastAsia" w:cs="Times New Roman"/>
                <w:color w:val="auto"/>
                <w:szCs w:val="22"/>
                <w:highlight w:val="none"/>
                <w:lang w:val="en-US" w:eastAsia="zh-CN"/>
              </w:rPr>
              <w:t>A/0</w:t>
            </w:r>
            <w:r>
              <w:rPr>
                <w:rFonts w:hint="eastAsia"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0</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12</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日实施；</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法律法规和其他要求清单：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50" w:afterAutospacing="0" w:line="15" w:lineRule="atLeast"/>
              <w:ind w:left="0" w:right="0" w:firstLine="420" w:firstLineChars="200"/>
              <w:jc w:val="both"/>
              <w:rPr>
                <w:rFonts w:hint="default"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识别出中华人民共和国产品质量法、中华人民共和国环境保护法、中华人民共和国环境噪声污染防治法、中华人民共和国大气污染防治法、中华人民共和国水污染防治法、中华人民共和国固体废物污染环境防治法、河北省劳动保障监察条例、中华人民共和国未成年人保护法、中华人民共和国消防法、河北省安全生产条例、中华人民共和国劳动法、中华人民共和国妇女权益保障法、中华人民共和国安全生产法、</w:t>
            </w: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https://www.baidu.com/link?url=yjSID3t7vhd-9eYtqEIR7vhXuQd_kNMxJleTfAMe3qJMrJfLMlLfyxp2mySBi2YRkwOLUgHeABWnBqd94c6rmnUYtlyyxFf4ixpcX249u5d8iQ2OOElWKZcG5GRK6xJQS7aVsxzlcHy1G-adyGkVZ2456bl7XkF0ePankBAhY4sSwtbR5qXfw15pxSrd1zymEjVmrVzxA_IZZSSV74XjXtFZdA_Gbd_0U8dLVtLI6xT9oOFkXVlklenY-ecFOKIsS7SxtfvlsBNBHrQBMkYMFK&amp;wd=&amp;eqid=95523b30001bde0c000000035cd91fbb" \t "https://www.baidu.com/_blank"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河</w:t>
            </w:r>
            <w:r>
              <w:rPr>
                <w:rFonts w:hint="eastAsia" w:ascii="Times New Roman" w:hAnsi="Times New Roman" w:eastAsia="宋体" w:cs="Times New Roman"/>
                <w:b w:val="0"/>
                <w:bCs w:val="0"/>
                <w:color w:val="auto"/>
                <w:kern w:val="2"/>
                <w:sz w:val="21"/>
                <w:szCs w:val="22"/>
                <w:highlight w:val="none"/>
                <w:lang w:val="en-US" w:eastAsia="zh-CN" w:bidi="ar-SA"/>
              </w:rPr>
              <w:t>北</w:t>
            </w:r>
            <w:r>
              <w:rPr>
                <w:rFonts w:hint="default" w:ascii="Times New Roman" w:hAnsi="Times New Roman" w:eastAsia="宋体" w:cs="Times New Roman"/>
                <w:b w:val="0"/>
                <w:bCs w:val="0"/>
                <w:color w:val="auto"/>
                <w:kern w:val="2"/>
                <w:sz w:val="21"/>
                <w:szCs w:val="22"/>
                <w:highlight w:val="none"/>
                <w:lang w:val="en-US" w:eastAsia="zh-CN" w:bidi="ar-SA"/>
              </w:rPr>
              <w:t>省城市生活垃圾处理管理办法</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hAnsi="Times New Roman" w:eastAsia="宋体" w:cs="Times New Roman"/>
                <w:b w:val="0"/>
                <w:bCs w:val="0"/>
                <w:color w:val="auto"/>
                <w:kern w:val="2"/>
                <w:sz w:val="21"/>
                <w:szCs w:val="22"/>
                <w:highlight w:val="none"/>
                <w:lang w:val="en-US" w:eastAsia="zh-CN" w:bidi="ar-SA"/>
              </w:rPr>
              <w:t>、产品标准GB/T8390-2007(单杠)、GB/T19851.2-2005(中小学体育器材和场地)GB/T8391-2007(双杠)等61项。基本符合。</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管理体系文件经过总经理审批实施发布，目前文件和目录均适用。符合要求。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有</w:t>
            </w:r>
            <w:r>
              <w:rPr>
                <w:rFonts w:hint="default" w:ascii="Times New Roman" w:hAnsi="Times New Roman" w:cs="Times New Roman"/>
                <w:color w:val="auto"/>
                <w:szCs w:val="22"/>
                <w:highlight w:val="none"/>
                <w:lang w:val="en-US" w:eastAsia="zh-CN"/>
              </w:rPr>
              <w:t>《文件控制程序》，内容符合基本标准要求。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w:t>
            </w:r>
            <w:r>
              <w:rPr>
                <w:rFonts w:hint="eastAsia" w:cs="Times New Roman"/>
                <w:color w:val="auto"/>
                <w:szCs w:val="22"/>
                <w:highlight w:val="none"/>
                <w:lang w:val="en-US" w:eastAsia="zh-CN"/>
              </w:rPr>
              <w:t>程序</w:t>
            </w:r>
            <w:r>
              <w:rPr>
                <w:rFonts w:hint="default" w:ascii="Times New Roman" w:hAnsi="Times New Roman" w:cs="Times New Roman"/>
                <w:color w:val="auto"/>
                <w:szCs w:val="22"/>
                <w:highlight w:val="none"/>
                <w:lang w:val="en-US" w:eastAsia="zh-CN"/>
              </w:rPr>
              <w:t>文件清单、</w:t>
            </w:r>
            <w:r>
              <w:rPr>
                <w:rFonts w:hint="eastAsia" w:cs="Times New Roman"/>
                <w:color w:val="auto"/>
                <w:szCs w:val="22"/>
                <w:highlight w:val="none"/>
                <w:lang w:val="en-US" w:eastAsia="zh-CN"/>
              </w:rPr>
              <w:t>记录清单、</w:t>
            </w:r>
            <w:r>
              <w:rPr>
                <w:rFonts w:hint="default" w:ascii="Times New Roman" w:hAnsi="Times New Roman" w:cs="Times New Roman"/>
                <w:color w:val="auto"/>
                <w:szCs w:val="22"/>
                <w:highlight w:val="none"/>
                <w:lang w:val="en-US" w:eastAsia="zh-CN"/>
              </w:rPr>
              <w:t>管理评审计划、培训计划、职业健康安全危险源识别与评价表等，其成文信息标识清晰，填写基本齐全、清晰，成文信息在文件柜中分类编目保存，成文信息的贮存和保护符合要求，检索方便。</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成文信息由</w:t>
            </w:r>
            <w:r>
              <w:rPr>
                <w:rFonts w:hint="eastAsia" w:cs="Times New Roman"/>
                <w:color w:val="auto"/>
                <w:szCs w:val="22"/>
                <w:highlight w:val="none"/>
                <w:lang w:val="en-US" w:eastAsia="zh-CN"/>
              </w:rPr>
              <w:t>办公室</w:t>
            </w:r>
            <w:r>
              <w:rPr>
                <w:rFonts w:hint="default" w:ascii="Times New Roman" w:hAnsi="Times New Roman" w:cs="Times New Roman"/>
                <w:color w:val="auto"/>
                <w:szCs w:val="22"/>
                <w:highlight w:val="none"/>
                <w:lang w:val="en-US" w:eastAsia="zh-CN"/>
              </w:rPr>
              <w:t>负责保存，以便查阅。</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基本符合要求。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spacing w:val="-6"/>
                <w:sz w:val="21"/>
                <w:szCs w:val="21"/>
                <w:u w:val="none"/>
                <w:lang w:val="en-US" w:eastAsia="zh-CN"/>
              </w:rPr>
              <w:t xml:space="preserve"> </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eastAsia" w:cs="Times New Roman"/>
                <w:color w:val="auto"/>
                <w:spacing w:val="-6"/>
                <w:kern w:val="2"/>
                <w:sz w:val="21"/>
                <w:szCs w:val="21"/>
                <w:lang w:val="en-US" w:eastAsia="zh-CN" w:bidi="ar-SA"/>
              </w:rPr>
              <w:t>O</w:t>
            </w:r>
            <w:r>
              <w:rPr>
                <w:rFonts w:hint="default" w:ascii="Times New Roman" w:hAnsi="Times New Roman" w:cs="Times New Roman"/>
                <w:color w:val="auto"/>
                <w:spacing w:val="-6"/>
                <w:kern w:val="2"/>
                <w:sz w:val="21"/>
                <w:szCs w:val="21"/>
                <w:lang w:val="en-US" w:eastAsia="zh-CN" w:bidi="ar-SA"/>
              </w:rPr>
              <w:t>:9.1.1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eastAsia" w:cs="Times New Roman"/>
                <w:color w:val="auto"/>
                <w:spacing w:val="-6"/>
                <w:kern w:val="2"/>
                <w:sz w:val="21"/>
                <w:szCs w:val="21"/>
                <w:lang w:val="en-US" w:eastAsia="zh-CN" w:bidi="ar-SA"/>
              </w:rPr>
              <w:t xml:space="preserve"> </w:t>
            </w:r>
          </w:p>
        </w:tc>
        <w:tc>
          <w:tcPr>
            <w:tcW w:w="10004" w:type="dxa"/>
            <w:vAlign w:val="top"/>
          </w:tcPr>
          <w:p>
            <w:pPr>
              <w:ind w:firstLine="420" w:firstLineChars="200"/>
              <w:jc w:val="both"/>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2021年公司安全环保投入总计3.03万元。</w:t>
            </w:r>
          </w:p>
          <w:p>
            <w:pPr>
              <w:jc w:val="left"/>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公司有</w:t>
            </w:r>
            <w:r>
              <w:rPr>
                <w:rFonts w:hint="eastAsia" w:eastAsia="宋体" w:cs="Times New Roman"/>
                <w:color w:val="auto"/>
                <w:kern w:val="2"/>
                <w:sz w:val="21"/>
                <w:szCs w:val="22"/>
                <w:highlight w:val="none"/>
                <w:lang w:val="en-US" w:eastAsia="zh-CN" w:bidi="ar-SA"/>
              </w:rPr>
              <w:t>2021.12.22</w:t>
            </w:r>
            <w:r>
              <w:rPr>
                <w:rFonts w:hint="eastAsia" w:ascii="Times New Roman" w:hAnsi="Times New Roman" w:eastAsia="宋体" w:cs="Times New Roman"/>
                <w:color w:val="auto"/>
                <w:kern w:val="2"/>
                <w:sz w:val="21"/>
                <w:szCs w:val="22"/>
                <w:highlight w:val="none"/>
                <w:lang w:val="en-US" w:eastAsia="zh-CN" w:bidi="ar-SA"/>
              </w:rPr>
              <w:t>人员能力评价表</w:t>
            </w:r>
            <w:r>
              <w:rPr>
                <w:rFonts w:hint="eastAsia" w:cs="Times New Roman"/>
                <w:color w:val="auto"/>
                <w:szCs w:val="22"/>
                <w:highlight w:val="none"/>
                <w:lang w:val="en-US" w:eastAsia="zh-CN"/>
              </w:rPr>
              <w:t>，从教育程度、工作经验、岗位技能、专业培训、工作态度、团队意识、质量环境安全意识、质量、环境、安全事故处理能力等方面对张志坤、张增岐、张贵土、徐兰英进行了评价，结论为胜任岗位需要。</w:t>
            </w:r>
            <w:r>
              <w:rPr>
                <w:rFonts w:hint="eastAsia" w:ascii="Times New Roman" w:hAnsi="Times New Roman" w:eastAsia="宋体" w:cs="Times New Roman"/>
                <w:color w:val="auto"/>
                <w:kern w:val="2"/>
                <w:sz w:val="21"/>
                <w:szCs w:val="22"/>
                <w:highlight w:val="none"/>
                <w:lang w:val="en-US" w:eastAsia="zh-CN" w:bidi="ar-SA"/>
              </w:rPr>
              <w:t>公司有</w:t>
            </w:r>
            <w:r>
              <w:rPr>
                <w:rFonts w:hint="default"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t>2021年6月-2021年12月份部门环境目标指标实现统计</w:t>
            </w:r>
            <w:r>
              <w:rPr>
                <w:rFonts w:hint="eastAsia" w:eastAsia="宋体" w:cs="Times New Roman"/>
                <w:color w:val="auto"/>
                <w:kern w:val="2"/>
                <w:sz w:val="21"/>
                <w:szCs w:val="22"/>
                <w:highlight w:val="none"/>
                <w:lang w:val="en-US" w:eastAsia="zh-CN" w:bidi="ar-SA"/>
              </w:rPr>
              <w:t>表</w:t>
            </w:r>
            <w:r>
              <w:rPr>
                <w:rFonts w:hint="default" w:ascii="Times New Roman" w:hAnsi="Times New Roman" w:eastAsia="宋体" w:cs="Times New Roman"/>
                <w:color w:val="auto"/>
                <w:kern w:val="2"/>
                <w:sz w:val="21"/>
                <w:szCs w:val="22"/>
                <w:highlight w:val="none"/>
                <w:lang w:val="en-US" w:eastAsia="zh-CN" w:bidi="ar-SA"/>
              </w:rPr>
              <w:t>”，对</w:t>
            </w:r>
            <w:r>
              <w:rPr>
                <w:rFonts w:hint="eastAsia" w:ascii="Times New Roman" w:hAnsi="Times New Roman" w:eastAsia="宋体" w:cs="Times New Roman"/>
                <w:color w:val="auto"/>
                <w:kern w:val="2"/>
                <w:sz w:val="21"/>
                <w:szCs w:val="22"/>
                <w:highlight w:val="none"/>
                <w:lang w:val="en-US" w:eastAsia="zh-CN" w:bidi="ar-SA"/>
              </w:rPr>
              <w:t>所有部门</w:t>
            </w:r>
            <w:r>
              <w:rPr>
                <w:rFonts w:hint="default" w:ascii="Times New Roman" w:hAnsi="Times New Roman" w:eastAsia="宋体" w:cs="Times New Roman"/>
                <w:color w:val="auto"/>
                <w:kern w:val="2"/>
                <w:sz w:val="21"/>
                <w:szCs w:val="22"/>
                <w:highlight w:val="none"/>
                <w:lang w:val="en-US" w:eastAsia="zh-CN" w:bidi="ar-SA"/>
              </w:rPr>
              <w:t>目标完成情况进行绩效考核；</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未有上级主管部门的监督检查。公司经营能遵守相关的法律法规，没有违反环境、职业健康安全法律法规现象，近期没有发生环境与职业健康安全的事故。</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kern w:val="2"/>
                <w:sz w:val="21"/>
                <w:lang w:val="en-US" w:eastAsia="zh-CN" w:bidi="ar-SA"/>
              </w:rPr>
            </w:pPr>
            <w:r>
              <w:rPr>
                <w:rFonts w:hint="eastAsia" w:cs="Times New Roman"/>
                <w:color w:val="auto"/>
                <w:spacing w:val="-6"/>
                <w:kern w:val="2"/>
                <w:sz w:val="21"/>
                <w:szCs w:val="21"/>
                <w:lang w:val="en-US" w:eastAsia="zh-CN" w:bidi="ar-SA"/>
              </w:rPr>
              <w:t>QE</w:t>
            </w:r>
            <w:r>
              <w:rPr>
                <w:rFonts w:hint="default" w:ascii="Times New Roman" w:hAnsi="Times New Roman" w:eastAsia="宋体" w:cs="Times New Roman"/>
                <w:color w:val="auto"/>
                <w:spacing w:val="-6"/>
                <w:kern w:val="2"/>
                <w:sz w:val="21"/>
                <w:szCs w:val="21"/>
                <w:lang w:val="en-US" w:eastAsia="zh-CN" w:bidi="ar-SA"/>
              </w:rPr>
              <w:t>O:9.2</w:t>
            </w:r>
          </w:p>
        </w:tc>
        <w:tc>
          <w:tcPr>
            <w:tcW w:w="10004"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w:t>
            </w:r>
            <w:r>
              <w:rPr>
                <w:rFonts w:hint="eastAsia" w:cs="Times New Roman"/>
                <w:color w:val="auto"/>
                <w:szCs w:val="22"/>
                <w:highlight w:val="none"/>
                <w:lang w:val="en-US" w:eastAsia="zh-CN"/>
              </w:rPr>
              <w:t>内部审审控制</w:t>
            </w:r>
            <w:r>
              <w:rPr>
                <w:rFonts w:hint="default" w:ascii="Times New Roman" w:hAnsi="Times New Roman" w:cs="Times New Roman"/>
                <w:color w:val="auto"/>
                <w:szCs w:val="22"/>
                <w:highlight w:val="none"/>
                <w:lang w:val="en-US" w:eastAsia="zh-CN"/>
              </w:rPr>
              <w:t>程序》，有效文件；</w:t>
            </w:r>
          </w:p>
          <w:p>
            <w:pPr>
              <w:widowControl/>
              <w:spacing w:line="360" w:lineRule="atLeast"/>
              <w:jc w:val="left"/>
              <w:rPr>
                <w:rFonts w:hint="eastAsia"/>
                <w:highlight w:val="none"/>
                <w:lang w:val="en-US" w:eastAsia="zh-CN"/>
              </w:rPr>
            </w:pPr>
            <w:r>
              <w:rPr>
                <w:rFonts w:hint="eastAsia"/>
                <w:highlight w:val="none"/>
                <w:lang w:val="en-US" w:eastAsia="zh-CN"/>
              </w:rPr>
              <w:t>办公室2021年12月22日组织了公司质量环境职业安全健康管理体系内审，有年度内审计划、审核日程安排表、首末次会议签到表、不符合报告。</w:t>
            </w:r>
          </w:p>
          <w:p>
            <w:pPr>
              <w:widowControl/>
              <w:spacing w:line="360" w:lineRule="atLeast"/>
              <w:jc w:val="left"/>
              <w:rPr>
                <w:rFonts w:hint="default"/>
                <w:highlight w:val="none"/>
                <w:lang w:val="en-US" w:eastAsia="zh-CN"/>
              </w:rPr>
            </w:pPr>
            <w:r>
              <w:rPr>
                <w:rFonts w:hint="eastAsia"/>
                <w:highlight w:val="none"/>
                <w:lang w:val="en-US" w:eastAsia="zh-CN"/>
              </w:rPr>
              <w:t>内</w:t>
            </w:r>
            <w:r>
              <w:rPr>
                <w:rFonts w:hint="eastAsia" w:ascii="Times New Roman" w:hAnsi="Times New Roman" w:eastAsia="宋体" w:cs="Times New Roman"/>
                <w:szCs w:val="22"/>
                <w:highlight w:val="none"/>
                <w:lang w:val="en-US" w:eastAsia="zh-CN"/>
              </w:rPr>
              <w:t>审报告中</w:t>
            </w:r>
            <w:r>
              <w:rPr>
                <w:rFonts w:hint="eastAsia" w:ascii="Times New Roman" w:hAnsi="Times New Roman" w:eastAsia="宋体" w:cs="Times New Roman"/>
                <w:kern w:val="2"/>
                <w:sz w:val="21"/>
                <w:szCs w:val="22"/>
                <w:highlight w:val="none"/>
                <w:lang w:val="en-US" w:eastAsia="zh-CN" w:bidi="ar-SA"/>
              </w:rPr>
              <w:t>不符合报告1份</w:t>
            </w:r>
            <w:r>
              <w:rPr>
                <w:rFonts w:hint="eastAsia" w:ascii="Times New Roman" w:hAnsi="Times New Roman" w:eastAsia="宋体" w:cs="Times New Roman"/>
                <w:szCs w:val="22"/>
                <w:highlight w:val="none"/>
                <w:lang w:val="en-US" w:eastAsia="zh-CN"/>
              </w:rPr>
              <w:t>；办公室不能提供年度员工岗位能力评价证据。</w:t>
            </w:r>
            <w:r>
              <w:rPr>
                <w:rFonts w:hint="eastAsia" w:ascii="Times New Roman" w:hAnsi="Times New Roman" w:eastAsia="宋体" w:cs="Times New Roman"/>
                <w:kern w:val="2"/>
                <w:sz w:val="21"/>
                <w:szCs w:val="22"/>
                <w:highlight w:val="none"/>
                <w:lang w:val="en-US" w:eastAsia="zh-CN" w:bidi="ar-SA"/>
              </w:rPr>
              <w:t>已整改，有原因分析、制定了纠正措施，有对不符合条款的培训记录，整改措施有效。</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highlight w:val="none"/>
                <w:lang w:val="en-US" w:eastAsia="zh-CN"/>
              </w:rPr>
            </w:pPr>
            <w:r>
              <w:rPr>
                <w:rFonts w:hint="default" w:cs="Times New Roman"/>
                <w:color w:val="000000" w:themeColor="text1"/>
                <w:kern w:val="2"/>
                <w:sz w:val="21"/>
                <w:highlight w:val="none"/>
                <w:lang w:val="en-US" w:eastAsia="zh-CN" w:bidi="ar-SA"/>
                <w14:textFill>
                  <w14:solidFill>
                    <w14:schemeClr w14:val="tx1"/>
                  </w14:solidFill>
                </w14:textFill>
              </w:rPr>
              <w:drawing>
                <wp:inline distT="0" distB="0" distL="114300" distR="114300">
                  <wp:extent cx="1943735" cy="1457325"/>
                  <wp:effectExtent l="0" t="0" r="9525" b="18415"/>
                  <wp:docPr id="6" name="图片 6" descr="07431ee7ad4634b1a451703800f3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7431ee7ad4634b1a451703800f360e"/>
                          <pic:cNvPicPr>
                            <a:picLocks noChangeAspect="1"/>
                          </pic:cNvPicPr>
                        </pic:nvPicPr>
                        <pic:blipFill>
                          <a:blip r:embed="rId13"/>
                          <a:stretch>
                            <a:fillRect/>
                          </a:stretch>
                        </pic:blipFill>
                        <pic:spPr>
                          <a:xfrm rot="16200000">
                            <a:off x="0" y="0"/>
                            <a:ext cx="1943735" cy="1457325"/>
                          </a:xfrm>
                          <a:prstGeom prst="rect">
                            <a:avLst/>
                          </a:prstGeom>
                        </pic:spPr>
                      </pic:pic>
                    </a:graphicData>
                  </a:graphic>
                </wp:inline>
              </w:drawing>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rPr>
            </w:pPr>
            <w:r>
              <w:rPr>
                <w:rFonts w:hint="eastAsia" w:ascii="宋体" w:hAnsi="宋体" w:eastAsia="宋体" w:cs="Arial"/>
                <w:spacing w:val="-6"/>
                <w:sz w:val="21"/>
                <w:szCs w:val="21"/>
                <w:lang w:val="en-US" w:eastAsia="zh-CN"/>
              </w:rPr>
              <w:t>不合格和纠正措施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eastAsia" w:cs="Times New Roman"/>
                <w:color w:val="auto"/>
                <w:spacing w:val="-6"/>
                <w:kern w:val="2"/>
                <w:sz w:val="21"/>
                <w:szCs w:val="21"/>
                <w:lang w:val="en-US" w:eastAsia="zh-CN" w:bidi="ar-SA"/>
              </w:rPr>
              <w:t>QE</w:t>
            </w:r>
            <w:r>
              <w:rPr>
                <w:rFonts w:hint="eastAsia" w:ascii="Times New Roman" w:hAnsi="Times New Roman" w:eastAsia="宋体" w:cs="Times New Roman"/>
                <w:color w:val="auto"/>
                <w:spacing w:val="-6"/>
                <w:kern w:val="2"/>
                <w:sz w:val="21"/>
                <w:szCs w:val="21"/>
                <w:lang w:val="en-US" w:eastAsia="zh-CN" w:bidi="ar-SA"/>
              </w:rPr>
              <w:t>O</w:t>
            </w:r>
            <w:r>
              <w:rPr>
                <w:rFonts w:hint="default" w:ascii="Times New Roman" w:hAnsi="Times New Roman" w:eastAsia="宋体" w:cs="Times New Roman"/>
                <w:color w:val="auto"/>
                <w:spacing w:val="-6"/>
                <w:kern w:val="2"/>
                <w:sz w:val="21"/>
                <w:szCs w:val="21"/>
                <w:lang w:val="en-US" w:eastAsia="zh-CN" w:bidi="ar-SA"/>
              </w:rPr>
              <w:t>:</w:t>
            </w:r>
            <w:r>
              <w:rPr>
                <w:rFonts w:hint="default" w:ascii="Times New Roman" w:hAnsi="Times New Roman" w:cs="Times New Roman"/>
                <w:color w:val="auto"/>
                <w:spacing w:val="-6"/>
                <w:sz w:val="21"/>
                <w:szCs w:val="21"/>
                <w:lang w:val="en-US" w:eastAsia="zh-CN"/>
              </w:rPr>
              <w:t>10.2</w:t>
            </w:r>
          </w:p>
        </w:tc>
        <w:tc>
          <w:tcPr>
            <w:tcW w:w="10004"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保持实施</w:t>
            </w:r>
            <w:r>
              <w:rPr>
                <w:rFonts w:hint="eastAsia" w:ascii="宋体" w:hAnsi="宋体" w:cs="Arial"/>
                <w:color w:val="auto"/>
                <w:spacing w:val="-6"/>
                <w:sz w:val="21"/>
                <w:szCs w:val="21"/>
                <w:highlight w:val="none"/>
                <w:lang w:val="zh-CN" w:eastAsia="zh-CN"/>
              </w:rPr>
              <w:t>不符合纠正措施控制程序</w:t>
            </w:r>
            <w:r>
              <w:rPr>
                <w:rFonts w:hint="eastAsia" w:ascii="宋体" w:hAnsi="宋体" w:cs="Arial"/>
                <w:color w:val="auto"/>
                <w:spacing w:val="-6"/>
                <w:sz w:val="21"/>
                <w:szCs w:val="21"/>
                <w:highlight w:val="none"/>
                <w:lang w:val="en-US" w:eastAsia="zh-CN"/>
              </w:rPr>
              <w:t xml:space="preserve">、 对纠正预防措施识别、评审、验证，事故事件报告、调查、处理等作了规定，其内容符合组织实际及标准要求。 </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查纠正措施实施情况：</w:t>
            </w:r>
          </w:p>
          <w:p>
            <w:pPr>
              <w:snapToGrid w:val="0"/>
              <w:spacing w:line="360" w:lineRule="auto"/>
              <w:ind w:firstLine="396" w:firstLineChars="200"/>
              <w:jc w:val="left"/>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对2021年12月22日公司内审中提出不合格项“</w:t>
            </w:r>
            <w:r>
              <w:rPr>
                <w:rFonts w:hint="eastAsia"/>
                <w:szCs w:val="21"/>
                <w:lang w:val="en-US" w:eastAsia="zh-CN"/>
              </w:rPr>
              <w:t xml:space="preserve"> </w:t>
            </w:r>
            <w:r>
              <w:rPr>
                <w:rFonts w:hint="eastAsia" w:ascii="Times New Roman" w:hAnsi="Times New Roman" w:eastAsia="宋体" w:cs="Times New Roman"/>
                <w:szCs w:val="22"/>
                <w:highlight w:val="none"/>
                <w:lang w:val="en-US" w:eastAsia="zh-CN"/>
              </w:rPr>
              <w:t>办公室不能提供年度员工岗位能力评价证据</w:t>
            </w:r>
            <w:r>
              <w:rPr>
                <w:rFonts w:hint="eastAsia"/>
                <w:szCs w:val="21"/>
              </w:rPr>
              <w:t>。</w:t>
            </w:r>
            <w:r>
              <w:rPr>
                <w:rFonts w:hint="eastAsia" w:ascii="宋体" w:hAnsi="宋体" w:cs="Arial"/>
                <w:spacing w:val="-6"/>
                <w:sz w:val="21"/>
                <w:szCs w:val="21"/>
                <w:lang w:val="en-US" w:eastAsia="zh-CN"/>
              </w:rPr>
              <w:t xml:space="preserve">”进行了原因分析,并制定、实施了纠正措施，并由内审员对所采取的纠正措施进行了验证，查见2021年12月22日培训记录表，参加中有张志坤签到，纠正措施有效。 </w:t>
            </w:r>
          </w:p>
          <w:p>
            <w:pPr>
              <w:adjustRightInd w:val="0"/>
              <w:snapToGrid w:val="0"/>
              <w:spacing w:line="360" w:lineRule="auto"/>
              <w:ind w:right="105" w:rightChars="50" w:firstLine="396" w:firstLineChars="200"/>
              <w:jc w:val="left"/>
              <w:textAlignment w:val="baseline"/>
              <w:rPr>
                <w:rFonts w:hint="default"/>
                <w:highlight w:val="none"/>
                <w:lang w:val="en-US" w:eastAsia="zh-CN"/>
              </w:rPr>
            </w:pPr>
            <w:r>
              <w:rPr>
                <w:rFonts w:hint="eastAsia" w:ascii="宋体" w:hAnsi="宋体" w:cs="Arial"/>
                <w:spacing w:val="-6"/>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基本符合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p>
        </w:tc>
      </w:tr>
    </w:tbl>
    <w:p>
      <w:r>
        <w:ptab w:relativeTo="margin" w:alignment="center" w:leader="none"/>
      </w:r>
      <w:bookmarkStart w:id="1" w:name="_GoBack"/>
      <w:bookmarkEnd w:id="1"/>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9"/>
        <w:rFonts w:hint="default"/>
      </w:rPr>
    </w:pPr>
    <w:r>
      <w:drawing>
        <wp:anchor distT="0" distB="0" distL="114300" distR="114300" simplePos="0" relativeHeight="251660288" behindDoc="0" locked="0" layoutInCell="1" allowOverlap="1">
          <wp:simplePos x="0" y="0"/>
          <wp:positionH relativeFrom="column">
            <wp:posOffset>69850</wp:posOffset>
          </wp:positionH>
          <wp:positionV relativeFrom="paragraph">
            <wp:posOffset>6350</wp:posOffset>
          </wp:positionV>
          <wp:extent cx="485775" cy="485775"/>
          <wp:effectExtent l="0" t="0" r="1905" b="190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0"/>
      </w:pBdr>
      <w:spacing w:line="320" w:lineRule="exact"/>
      <w:ind w:firstLine="945" w:firstLineChars="500"/>
      <w:jc w:val="left"/>
    </w:pPr>
    <w:r>
      <w:rPr>
        <w:rStyle w:val="19"/>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32DD"/>
    <w:rsid w:val="01180380"/>
    <w:rsid w:val="01AB5376"/>
    <w:rsid w:val="01AF11A7"/>
    <w:rsid w:val="04D504CE"/>
    <w:rsid w:val="051A3281"/>
    <w:rsid w:val="08480442"/>
    <w:rsid w:val="09462DED"/>
    <w:rsid w:val="09D06427"/>
    <w:rsid w:val="0BB82669"/>
    <w:rsid w:val="0C9237D5"/>
    <w:rsid w:val="0D091DF0"/>
    <w:rsid w:val="0D881B3B"/>
    <w:rsid w:val="0F792B1F"/>
    <w:rsid w:val="119D5C9C"/>
    <w:rsid w:val="13886727"/>
    <w:rsid w:val="146F2E8B"/>
    <w:rsid w:val="15B879F6"/>
    <w:rsid w:val="15BA3540"/>
    <w:rsid w:val="160F7FF1"/>
    <w:rsid w:val="171F7E47"/>
    <w:rsid w:val="17471BA9"/>
    <w:rsid w:val="177237C8"/>
    <w:rsid w:val="18BC6A77"/>
    <w:rsid w:val="18D83B46"/>
    <w:rsid w:val="195601B2"/>
    <w:rsid w:val="1A0809DA"/>
    <w:rsid w:val="1AB91C68"/>
    <w:rsid w:val="1B1512E3"/>
    <w:rsid w:val="1BDA3E34"/>
    <w:rsid w:val="1D595B90"/>
    <w:rsid w:val="1DB059A9"/>
    <w:rsid w:val="1DBA604E"/>
    <w:rsid w:val="1DC03488"/>
    <w:rsid w:val="1DE113A0"/>
    <w:rsid w:val="1DE11E00"/>
    <w:rsid w:val="1F4B30D6"/>
    <w:rsid w:val="1F806AA2"/>
    <w:rsid w:val="1FA14CD6"/>
    <w:rsid w:val="200562A5"/>
    <w:rsid w:val="20B34D61"/>
    <w:rsid w:val="212F1284"/>
    <w:rsid w:val="21DB3660"/>
    <w:rsid w:val="24D9525F"/>
    <w:rsid w:val="25537E33"/>
    <w:rsid w:val="2584429E"/>
    <w:rsid w:val="262E6969"/>
    <w:rsid w:val="269B68EF"/>
    <w:rsid w:val="26B944F0"/>
    <w:rsid w:val="272315A6"/>
    <w:rsid w:val="27B62226"/>
    <w:rsid w:val="28242AC9"/>
    <w:rsid w:val="28830F74"/>
    <w:rsid w:val="292F2D99"/>
    <w:rsid w:val="29494E7D"/>
    <w:rsid w:val="295A0AE9"/>
    <w:rsid w:val="2B2D0A38"/>
    <w:rsid w:val="2B3B44A6"/>
    <w:rsid w:val="2BB03906"/>
    <w:rsid w:val="2BFB4D68"/>
    <w:rsid w:val="2D5339E0"/>
    <w:rsid w:val="2E675463"/>
    <w:rsid w:val="2FAD46F5"/>
    <w:rsid w:val="2FD24514"/>
    <w:rsid w:val="307F6F63"/>
    <w:rsid w:val="32A02948"/>
    <w:rsid w:val="32FB310C"/>
    <w:rsid w:val="334829DA"/>
    <w:rsid w:val="34723FE4"/>
    <w:rsid w:val="34F64338"/>
    <w:rsid w:val="371B594D"/>
    <w:rsid w:val="37AA3F6E"/>
    <w:rsid w:val="37EE3193"/>
    <w:rsid w:val="38832645"/>
    <w:rsid w:val="3D7067C3"/>
    <w:rsid w:val="3D9B54D3"/>
    <w:rsid w:val="40436DCF"/>
    <w:rsid w:val="40613321"/>
    <w:rsid w:val="436D4E87"/>
    <w:rsid w:val="43A74F27"/>
    <w:rsid w:val="43A916C4"/>
    <w:rsid w:val="474E2C8A"/>
    <w:rsid w:val="476D10C7"/>
    <w:rsid w:val="47831174"/>
    <w:rsid w:val="48103535"/>
    <w:rsid w:val="4A2F437A"/>
    <w:rsid w:val="4BFC39ED"/>
    <w:rsid w:val="4C1A3F8E"/>
    <w:rsid w:val="4D452272"/>
    <w:rsid w:val="4E3702BF"/>
    <w:rsid w:val="4E846198"/>
    <w:rsid w:val="4EA956A6"/>
    <w:rsid w:val="507A1915"/>
    <w:rsid w:val="50F96055"/>
    <w:rsid w:val="515A301C"/>
    <w:rsid w:val="51E71C02"/>
    <w:rsid w:val="51FE3FD6"/>
    <w:rsid w:val="521F427F"/>
    <w:rsid w:val="54392608"/>
    <w:rsid w:val="565467CB"/>
    <w:rsid w:val="57436A16"/>
    <w:rsid w:val="575A60C6"/>
    <w:rsid w:val="578F356D"/>
    <w:rsid w:val="57A36AEC"/>
    <w:rsid w:val="589C77D9"/>
    <w:rsid w:val="58CA3316"/>
    <w:rsid w:val="590B3FD1"/>
    <w:rsid w:val="59FC6CEB"/>
    <w:rsid w:val="5A293AE3"/>
    <w:rsid w:val="5A3A794C"/>
    <w:rsid w:val="5B1443B5"/>
    <w:rsid w:val="5B6D0F11"/>
    <w:rsid w:val="5CD10269"/>
    <w:rsid w:val="60913EFF"/>
    <w:rsid w:val="62C767B0"/>
    <w:rsid w:val="631661A9"/>
    <w:rsid w:val="63B72057"/>
    <w:rsid w:val="650B5ADC"/>
    <w:rsid w:val="65C64185"/>
    <w:rsid w:val="66240AB6"/>
    <w:rsid w:val="66656FF1"/>
    <w:rsid w:val="66FF69E5"/>
    <w:rsid w:val="69A54F91"/>
    <w:rsid w:val="6B571F27"/>
    <w:rsid w:val="6BBE328E"/>
    <w:rsid w:val="6F384F6A"/>
    <w:rsid w:val="70FF7FCB"/>
    <w:rsid w:val="72EE1DF9"/>
    <w:rsid w:val="72F7029D"/>
    <w:rsid w:val="741D41A3"/>
    <w:rsid w:val="758B4545"/>
    <w:rsid w:val="76391C58"/>
    <w:rsid w:val="79895BDE"/>
    <w:rsid w:val="7A943C5E"/>
    <w:rsid w:val="7BDE31B7"/>
    <w:rsid w:val="7D4F3B4F"/>
    <w:rsid w:val="7D6D7688"/>
    <w:rsid w:val="7DBF077D"/>
    <w:rsid w:val="7E4137F4"/>
    <w:rsid w:val="7E5B41E9"/>
    <w:rsid w:val="7E7A1611"/>
    <w:rsid w:val="7ED67AE7"/>
    <w:rsid w:val="7F9E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line="360" w:lineRule="exact"/>
      <w:ind w:left="630" w:leftChars="300"/>
    </w:pPr>
    <w:rPr>
      <w:rFonts w:eastAsia="楷体_GB2312"/>
      <w:sz w:val="28"/>
    </w:rPr>
  </w:style>
  <w:style w:type="paragraph" w:styleId="10">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1">
    <w:name w:val="Body Text First Indent"/>
    <w:basedOn w:val="4"/>
    <w:qFormat/>
    <w:uiPriority w:val="0"/>
    <w:pPr>
      <w:ind w:firstLine="420" w:firstLineChars="1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textcontents"/>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2022-03-09T07:00:26Z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