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146</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石家庄市御泰机械科技有限公司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460"/>
        <w:gridCol w:w="96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石家庄市御泰机械科技有限公司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325" w:type="dxa"/>
            <w:gridSpan w:val="3"/>
            <w:vAlign w:val="top"/>
          </w:tcPr>
          <w:p>
            <w:pPr>
              <w:rPr>
                <w:rFonts w:ascii="Times New Roman" w:hAnsi="Times New Roman" w:eastAsia="宋体" w:cs="Times New Roman"/>
                <w:kern w:val="2"/>
                <w:sz w:val="21"/>
                <w:szCs w:val="24"/>
                <w:lang w:val="en-US" w:eastAsia="zh-CN" w:bidi="ar-SA"/>
              </w:rPr>
            </w:pPr>
            <w:r>
              <w:t>河北省石家庄市栾城区楼底镇夏户庄村东口（桥头北侧）</w:t>
            </w:r>
          </w:p>
        </w:tc>
        <w:tc>
          <w:tcPr>
            <w:tcW w:w="96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325" w:type="dxa"/>
            <w:gridSpan w:val="3"/>
            <w:vAlign w:val="top"/>
          </w:tcPr>
          <w:p>
            <w:pPr>
              <w:rPr>
                <w:rFonts w:ascii="Times New Roman" w:hAnsi="Times New Roman" w:eastAsia="宋体" w:cs="Times New Roman"/>
                <w:kern w:val="2"/>
                <w:sz w:val="21"/>
                <w:szCs w:val="24"/>
                <w:lang w:val="en-US" w:eastAsia="zh-CN" w:bidi="ar-SA"/>
              </w:rPr>
            </w:pPr>
            <w:r>
              <w:t>河北省石家庄市栾城区楼底镇夏户庄村东口（桥头北侧）</w:t>
            </w:r>
          </w:p>
        </w:tc>
        <w:tc>
          <w:tcPr>
            <w:tcW w:w="96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刘鹏</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460" w:type="dxa"/>
            <w:vAlign w:val="center"/>
          </w:tcPr>
          <w:p>
            <w:pPr>
              <w:rPr>
                <w:rFonts w:ascii="Times New Roman" w:hAnsi="Times New Roman" w:eastAsia="宋体" w:cs="Times New Roman"/>
                <w:kern w:val="2"/>
                <w:sz w:val="21"/>
                <w:szCs w:val="24"/>
                <w:lang w:val="en-US" w:eastAsia="zh-CN" w:bidi="ar-SA"/>
              </w:rPr>
            </w:pPr>
            <w:r>
              <w:t>15131125529</w:t>
            </w:r>
          </w:p>
        </w:tc>
        <w:tc>
          <w:tcPr>
            <w:tcW w:w="96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靳秀芳</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460" w:type="dxa"/>
            <w:vAlign w:val="top"/>
          </w:tcPr>
          <w:p>
            <w:pPr>
              <w:rPr>
                <w:rFonts w:ascii="Times New Roman" w:hAnsi="Times New Roman" w:eastAsia="宋体" w:cs="Times New Roman"/>
                <w:kern w:val="2"/>
                <w:sz w:val="21"/>
                <w:szCs w:val="24"/>
                <w:lang w:val="en-US" w:eastAsia="zh-CN" w:bidi="ar-SA"/>
              </w:rPr>
            </w:pPr>
            <w:r>
              <w:t>刘鹏</w:t>
            </w:r>
          </w:p>
        </w:tc>
        <w:tc>
          <w:tcPr>
            <w:tcW w:w="96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ighlight w:val="cyan"/>
              </w:rPr>
              <w:t>多班次说明</w:t>
            </w:r>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color w:val="000000"/>
                <w:lang w:val="en-US" w:eastAsia="zh-CN"/>
              </w:rPr>
              <w:t>外购原料--带锯机---车床、铣床---钻床、攻丝机---成品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b/>
                <w:sz w:val="20"/>
              </w:rPr>
              <w:t>2022年03月16日 下午至2022年03月18日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河北省石家庄市栾城区楼底镇夏户庄村东口（桥头北侧）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19" w:name="审核范围"/>
            <w:r>
              <w:rPr>
                <w:sz w:val="20"/>
              </w:rPr>
              <w:t>Q：铁路量具配件、铁路工具配件、铁路供电刀闸配件的加工</w:t>
            </w:r>
          </w:p>
          <w:p>
            <w:pPr>
              <w:rPr>
                <w:sz w:val="20"/>
              </w:rPr>
            </w:pPr>
            <w:r>
              <w:rPr>
                <w:sz w:val="20"/>
              </w:rPr>
              <w:t>E：铁路量具配件、铁路工具配件、铁路供电刀闸配件的加工所涉及场所的相关环境管理活动</w:t>
            </w:r>
          </w:p>
          <w:p>
            <w:r>
              <w:rPr>
                <w:sz w:val="20"/>
              </w:rPr>
              <w:t>O：铁路量具配件、铁路工具配件、铁路供电刀闸配件的加工所涉及场所的相关职业健康安全管理活动</w:t>
            </w:r>
            <w:bookmarkEnd w:id="1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both"/>
              <w:rPr>
                <w:sz w:val="20"/>
                <w:lang w:val="de-DE"/>
              </w:rPr>
            </w:pPr>
            <w:r>
              <w:rPr>
                <w:sz w:val="20"/>
                <w:lang w:val="de-DE"/>
              </w:rPr>
              <w:t>Q:17.10.02</w:t>
            </w:r>
          </w:p>
          <w:p>
            <w:pPr>
              <w:jc w:val="both"/>
              <w:rPr>
                <w:sz w:val="20"/>
                <w:lang w:val="de-DE"/>
              </w:rPr>
            </w:pPr>
            <w:r>
              <w:rPr>
                <w:sz w:val="20"/>
                <w:lang w:val="de-DE"/>
              </w:rPr>
              <w:t>E:17.10.02</w:t>
            </w:r>
          </w:p>
          <w:p>
            <w:r>
              <w:rPr>
                <w:sz w:val="20"/>
                <w:lang w:val="de-DE"/>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石家庄市御泰机械科技有限公司</w:t>
            </w:r>
          </w:p>
          <w:p>
            <w:pPr>
              <w:spacing w:before="40" w:after="40"/>
              <w:rPr>
                <w:rFonts w:eastAsia="黑体"/>
                <w:szCs w:val="21"/>
                <w:lang w:val="de-DE" w:eastAsia="ja-JP"/>
              </w:rPr>
            </w:pPr>
            <w:r>
              <w:rPr>
                <w:rFonts w:hint="eastAsia" w:eastAsia="黑体"/>
                <w:szCs w:val="21"/>
                <w:lang w:val="de-DE" w:eastAsia="ja-JP"/>
              </w:rPr>
              <w:t>河北省石家庄市栾城区楼底镇夏户庄村东口（桥头北侧）</w:t>
            </w:r>
          </w:p>
        </w:tc>
        <w:tc>
          <w:tcPr>
            <w:tcW w:w="1499" w:type="dxa"/>
          </w:tcPr>
          <w:p>
            <w:pPr>
              <w:spacing w:before="40" w:after="40"/>
              <w:rPr>
                <w:rFonts w:eastAsia="黑体"/>
                <w:szCs w:val="21"/>
                <w:lang w:val="de-DE" w:eastAsia="ja-JP"/>
              </w:rPr>
            </w:pPr>
            <w:r>
              <w:rPr>
                <w:rFonts w:hint="eastAsia" w:eastAsia="黑体"/>
                <w:szCs w:val="21"/>
                <w:lang w:val="de-DE" w:eastAsia="ja-JP"/>
              </w:rPr>
              <w:t>河北省石家庄市栾城区楼底镇夏户庄村东口（桥头北侧）</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267" w:type="dxa"/>
            <w:vAlign w:val="center"/>
          </w:tcPr>
          <w:p>
            <w:pPr>
              <w:pStyle w:val="21"/>
              <w:rPr>
                <w:rFonts w:hint="eastAsia" w:eastAsia="黑体" w:cs="Arial"/>
                <w:sz w:val="21"/>
                <w:szCs w:val="21"/>
                <w:lang w:val="en-US" w:eastAsia="zh-CN"/>
              </w:rPr>
            </w:pPr>
            <w:r>
              <w:rPr>
                <w:sz w:val="21"/>
                <w:szCs w:val="21"/>
              </w:rPr>
              <w:t>铁路量具配件、铁路工具配件、铁路供电刀闸配件的加工</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jc w:val="both"/>
              <w:rPr>
                <w:sz w:val="20"/>
                <w:lang w:val="de-DE"/>
              </w:rPr>
            </w:pPr>
            <w:r>
              <w:rPr>
                <w:sz w:val="20"/>
                <w:lang w:val="de-DE"/>
              </w:rPr>
              <w:t>Q:17.10.02</w:t>
            </w:r>
          </w:p>
          <w:p>
            <w:pPr>
              <w:jc w:val="both"/>
              <w:rPr>
                <w:sz w:val="20"/>
                <w:lang w:val="de-DE"/>
              </w:rPr>
            </w:pPr>
            <w:r>
              <w:rPr>
                <w:sz w:val="20"/>
                <w:lang w:val="de-DE"/>
              </w:rPr>
              <w:t>E:17.10.02</w:t>
            </w:r>
          </w:p>
          <w:p>
            <w:pPr>
              <w:rPr>
                <w:rFonts w:ascii="Times New Roman" w:hAnsi="Times New Roman" w:eastAsia="宋体" w:cs="Times New Roman"/>
                <w:kern w:val="2"/>
                <w:sz w:val="21"/>
                <w:szCs w:val="24"/>
                <w:lang w:val="en-US" w:eastAsia="zh-CN" w:bidi="ar-SA"/>
              </w:rPr>
            </w:pPr>
            <w:r>
              <w:rPr>
                <w:sz w:val="20"/>
                <w:lang w:val="de-DE"/>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jc w:val="both"/>
              <w:rPr>
                <w:sz w:val="20"/>
                <w:lang w:val="de-DE"/>
              </w:rPr>
            </w:pPr>
            <w:r>
              <w:rPr>
                <w:sz w:val="20"/>
                <w:lang w:val="de-DE"/>
              </w:rPr>
              <w:t>Q:17.10.02</w:t>
            </w:r>
          </w:p>
          <w:p>
            <w:pPr>
              <w:jc w:val="both"/>
              <w:rPr>
                <w:rFonts w:ascii="Times New Roman" w:hAnsi="Times New Roman" w:eastAsia="宋体" w:cs="Times New Roman"/>
                <w:kern w:val="2"/>
                <w:sz w:val="21"/>
                <w:szCs w:val="24"/>
                <w:lang w:val="en-US" w:eastAsia="zh-CN" w:bidi="ar-SA"/>
              </w:rPr>
            </w:pPr>
            <w:r>
              <w:rPr>
                <w:sz w:val="20"/>
                <w:lang w:val="de-DE"/>
              </w:rPr>
              <w:t>E:17.10.02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702"/>
              </w:tabs>
              <w:rPr>
                <w:rFonts w:hint="default" w:eastAsia="宋体"/>
                <w:lang w:val="en-US" w:eastAsia="zh-CN"/>
              </w:rPr>
            </w:pPr>
            <w:r>
              <w:rPr>
                <w:rFonts w:hint="eastAsia"/>
                <w:lang w:val="en-US" w:eastAsia="zh-CN"/>
              </w:rPr>
              <w:t>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pPr>
        <w:numPr>
          <w:ilvl w:val="0"/>
          <w:numId w:val="2"/>
        </w:numPr>
        <w:rPr>
          <w:rFonts w:hint="eastAsia"/>
        </w:rPr>
      </w:pPr>
      <w:r>
        <w:rPr>
          <w:rFonts w:hint="eastAsia"/>
        </w:rPr>
        <w:t>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203835</wp:posOffset>
                  </wp:positionH>
                  <wp:positionV relativeFrom="paragraph">
                    <wp:posOffset>212090</wp:posOffset>
                  </wp:positionV>
                  <wp:extent cx="1007110" cy="48514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w:t>
            </w:r>
            <w:bookmarkStart w:id="23" w:name="_GoBack"/>
            <w:r>
              <w:rPr>
                <w:rFonts w:hint="eastAsia"/>
                <w:b/>
                <w:bCs/>
              </w:rPr>
              <w:t>外包</w:t>
            </w:r>
            <w:bookmarkEnd w:id="23"/>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热处理</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pacing w:line="400" w:lineRule="exact"/>
              <w:jc w:val="both"/>
              <w:rPr>
                <w:rFonts w:hint="eastAsia" w:ascii="宋体" w:hAnsi="宋体"/>
                <w:b/>
                <w:bCs/>
                <w:sz w:val="24"/>
              </w:rPr>
            </w:pPr>
            <w:r>
              <w:rPr>
                <w:rFonts w:hint="eastAsia" w:ascii="宋体" w:hAnsi="宋体"/>
                <w:b/>
                <w:bCs/>
                <w:sz w:val="24"/>
                <w:lang w:val="en-US" w:eastAsia="zh-CN"/>
              </w:rPr>
              <w:t>用心服务质量为先</w:t>
            </w:r>
            <w:r>
              <w:rPr>
                <w:rFonts w:hint="eastAsia" w:ascii="宋体" w:hAnsi="宋体"/>
                <w:b/>
                <w:bCs/>
                <w:sz w:val="24"/>
              </w:rPr>
              <w:t>，预防污染保护环境；</w:t>
            </w:r>
          </w:p>
          <w:p>
            <w:pPr>
              <w:shd w:val="clear" w:color="auto" w:fill="C7DAF1" w:themeFill="text2" w:themeFillTint="32"/>
              <w:rPr>
                <w:rFonts w:hint="eastAsia" w:ascii="Times New Roman" w:hAnsi="Times New Roman" w:cs="Times New Roman"/>
                <w:lang w:val="en-US" w:eastAsia="zh-CN"/>
              </w:rPr>
            </w:pPr>
            <w:r>
              <w:rPr>
                <w:rFonts w:hint="eastAsia" w:ascii="宋体" w:hAnsi="宋体"/>
                <w:b/>
                <w:bCs/>
                <w:sz w:val="24"/>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一次交付合格率100%</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客户满意率≥95%</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办公室</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带锯机床、摇臂钻床、台式钻床机、台式攻丝机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sz w:val="20"/>
                    </w:rPr>
                    <w:t>铁路量具配件、铁路工具配件、铁路供电刀闸配件</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精车</w:t>
                  </w:r>
                </w:p>
              </w:tc>
              <w:tc>
                <w:tcPr>
                  <w:tcW w:w="3265" w:type="dxa"/>
                </w:tcPr>
                <w:p>
                  <w:pPr>
                    <w:shd w:val="clear" w:color="auto" w:fill="C7DAF1" w:themeFill="text2" w:themeFillTint="32"/>
                    <w:jc w:val="left"/>
                    <w:rPr>
                      <w:rFonts w:hint="eastAsia" w:eastAsia="宋体"/>
                      <w:lang w:val="en-US" w:eastAsia="zh-CN"/>
                    </w:rPr>
                  </w:pPr>
                  <w:r>
                    <w:rPr>
                      <w:rFonts w:hint="eastAsia"/>
                    </w:rPr>
                    <w:t>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rPr>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p>
            <w:pPr>
              <w:pStyle w:val="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热处理</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pacing w:line="400" w:lineRule="exact"/>
              <w:jc w:val="both"/>
              <w:rPr>
                <w:rFonts w:hint="eastAsia"/>
              </w:rPr>
            </w:pPr>
            <w:r>
              <w:rPr>
                <w:rFonts w:hint="eastAsia"/>
                <w:lang w:val="en-US" w:eastAsia="zh-CN"/>
              </w:rPr>
              <w:t>用心服务质量为先</w:t>
            </w:r>
            <w:r>
              <w:rPr>
                <w:rFonts w:hint="eastAsia"/>
              </w:rPr>
              <w:t>，预防污染保护环境；</w:t>
            </w:r>
          </w:p>
          <w:p>
            <w:pPr>
              <w:shd w:val="clear" w:color="auto" w:fill="EBF1DE" w:themeFill="accent3" w:themeFillTint="32"/>
              <w:rPr>
                <w:rFonts w:hint="eastAsia"/>
                <w:lang w:val="en-US" w:eastAsia="zh-CN"/>
              </w:rPr>
            </w:pPr>
            <w:r>
              <w:rPr>
                <w:rFonts w:hint="eastAsia"/>
              </w:rPr>
              <w:t>关爱员工健康安全，持续改进追求卓越</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现状环境影响评估报告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噪声达标排放</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带锯机床、摇臂钻床、台式钻床机、台式攻丝机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未设置固废分类装置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ZXHJ20220116002</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12"/>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热处理</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400" w:lineRule="exact"/>
              <w:jc w:val="both"/>
              <w:rPr>
                <w:rFonts w:hint="eastAsia" w:ascii="宋体" w:hAnsi="宋体"/>
                <w:b/>
                <w:bCs/>
                <w:sz w:val="24"/>
              </w:rPr>
            </w:pPr>
            <w:r>
              <w:rPr>
                <w:rFonts w:hint="eastAsia" w:ascii="宋体" w:hAnsi="宋体"/>
                <w:b/>
                <w:bCs/>
                <w:sz w:val="24"/>
                <w:lang w:val="en-US" w:eastAsia="zh-CN"/>
              </w:rPr>
              <w:t>用心服务质量为先</w:t>
            </w:r>
            <w:r>
              <w:rPr>
                <w:rFonts w:hint="eastAsia" w:ascii="宋体" w:hAnsi="宋体"/>
                <w:b/>
                <w:bCs/>
                <w:sz w:val="24"/>
              </w:rPr>
              <w:t>，预防污染保护环境；</w:t>
            </w:r>
          </w:p>
          <w:p>
            <w:pPr>
              <w:rPr>
                <w:rFonts w:hint="eastAsia" w:ascii="Times New Roman" w:hAnsi="Times New Roman" w:cs="Times New Roman"/>
                <w:b/>
                <w:bCs/>
                <w:lang w:val="en-US" w:eastAsia="zh-CN"/>
              </w:rPr>
            </w:pPr>
            <w:r>
              <w:rPr>
                <w:rFonts w:hint="eastAsia" w:ascii="宋体" w:hAnsi="宋体"/>
                <w:b/>
                <w:bCs/>
                <w:sz w:val="24"/>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檀康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生技部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color w:val="000000"/>
                <w:szCs w:val="21"/>
                <w:u w:val="none"/>
                <w:lang w:eastAsia="zh-CN"/>
              </w:rPr>
              <w:t>带锯机床、摇臂钻床、台式钻床机、台式攻丝机</w:t>
            </w:r>
            <w:r>
              <w:rPr>
                <w:rFonts w:hint="eastAsia" w:ascii="楷体" w:hAnsi="楷体" w:eastAsia="楷体"/>
                <w:color w:val="000000"/>
                <w:szCs w:val="21"/>
                <w:u w:val="none"/>
              </w:rPr>
              <w:t>及辅助设施</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26</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95399"/>
    <w:multiLevelType w:val="singleLevel"/>
    <w:tmpl w:val="D1195399"/>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A875A8"/>
    <w:rsid w:val="08B123F7"/>
    <w:rsid w:val="0F852190"/>
    <w:rsid w:val="27632173"/>
    <w:rsid w:val="2BB24657"/>
    <w:rsid w:val="3E3F2FBE"/>
    <w:rsid w:val="3FE9275F"/>
    <w:rsid w:val="73853747"/>
    <w:rsid w:val="768D1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文 首行缩进:  2 字符"/>
    <w:basedOn w:val="1"/>
    <w:qFormat/>
    <w:uiPriority w:val="0"/>
    <w:pPr>
      <w:ind w:firstLine="200" w:firstLineChars="200"/>
    </w:pPr>
    <w:rPr>
      <w:rFonts w:cs="宋体"/>
      <w:sz w:val="24"/>
      <w:szCs w:val="2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20018</Words>
  <Characters>21059</Characters>
  <Lines>150</Lines>
  <Paragraphs>42</Paragraphs>
  <TotalTime>15</TotalTime>
  <ScaleCrop>false</ScaleCrop>
  <LinksUpToDate>false</LinksUpToDate>
  <CharactersWithSpaces>21181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2022-03-26T10:33:32Z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