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0126-2022-QEO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石家庄银兴物业服务有限公司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石家庄银兴物业服务有限公司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河北省石家庄市长安区和平东路528号金嘉园小区办公楼301室</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河北省石家庄市长安区和平东路528号金嘉园小区办公楼301室</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杜春生</w:t>
            </w:r>
            <w:bookmarkEnd w:id="10"/>
          </w:p>
        </w:tc>
        <w:tc>
          <w:tcPr>
            <w:tcW w:w="1313" w:type="dxa"/>
            <w:vAlign w:val="center"/>
          </w:tcPr>
          <w:p>
            <w:r>
              <w:rPr>
                <w:rFonts w:hint="eastAsia"/>
              </w:rPr>
              <w:t>电话.</w:t>
            </w:r>
          </w:p>
        </w:tc>
        <w:tc>
          <w:tcPr>
            <w:tcW w:w="2180" w:type="dxa"/>
            <w:vAlign w:val="center"/>
          </w:tcPr>
          <w:p>
            <w:bookmarkStart w:id="11" w:name="联系人电话"/>
            <w:r>
              <w:t>13111586177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杜春生</w:t>
            </w:r>
            <w:bookmarkEnd w:id="13"/>
          </w:p>
        </w:tc>
        <w:tc>
          <w:tcPr>
            <w:tcW w:w="1313" w:type="dxa"/>
            <w:vAlign w:val="center"/>
          </w:tcPr>
          <w:p>
            <w:r>
              <w:rPr>
                <w:rFonts w:hint="eastAsia"/>
              </w:rPr>
              <w:t>管理者代表</w:t>
            </w:r>
          </w:p>
        </w:tc>
        <w:tc>
          <w:tcPr>
            <w:tcW w:w="2180" w:type="dxa"/>
          </w:tcPr>
          <w:p>
            <w:bookmarkStart w:id="14" w:name="管理者代表"/>
            <w:r>
              <w:t>杜春生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楷体" w:hAnsi="楷体" w:eastAsia="楷体" w:cs="楷体"/>
                <w:bCs/>
                <w:sz w:val="21"/>
                <w:szCs w:val="21"/>
              </w:rPr>
              <w:t>客户开发---项目评估---合同签订---进驻项目现场---物业管理</w:t>
            </w:r>
            <w:r>
              <w:rPr>
                <w:rFonts w:hint="eastAsia" w:ascii="楷体" w:hAnsi="楷体" w:eastAsia="楷体" w:cs="楷体"/>
                <w:sz w:val="21"/>
                <w:szCs w:val="21"/>
              </w:rPr>
              <w:t>（</w:t>
            </w:r>
            <w:r>
              <w:rPr>
                <w:rFonts w:hint="eastAsia" w:ascii="楷体" w:hAnsi="楷体" w:eastAsia="楷体" w:cs="楷体"/>
                <w:color w:val="auto"/>
                <w:sz w:val="21"/>
                <w:szCs w:val="21"/>
                <w:lang w:val="en-US" w:eastAsia="zh-CN"/>
              </w:rPr>
              <w:t>保安、保洁、电梯、垃圾清运、消防设施巡查</w:t>
            </w:r>
            <w:r>
              <w:rPr>
                <w:rFonts w:hint="eastAsia" w:ascii="楷体" w:hAnsi="楷体" w:eastAsia="楷体" w:cs="楷体"/>
                <w:sz w:val="21"/>
                <w:szCs w:val="21"/>
              </w:rPr>
              <w:t>等）-----服务检查</w:t>
            </w:r>
            <w:r>
              <w:rPr>
                <w:rFonts w:hint="eastAsia" w:ascii="楷体" w:hAnsi="楷体" w:eastAsia="楷体" w:cs="楷体"/>
                <w:bCs/>
                <w:sz w:val="21"/>
                <w:szCs w:val="21"/>
              </w:rPr>
              <w:t>---客户满意调查</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2022年03月06日 下午至2022年03月08日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河北省石家庄市长安区和平东路528号金嘉园小区办公楼301室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Q：物业管理</w:t>
            </w:r>
          </w:p>
          <w:p>
            <w:r>
              <w:t>E：物业管理所涉及场所的相关环境管理活动</w:t>
            </w:r>
          </w:p>
          <w:p>
            <w:r>
              <w:t>O：物业管理所涉及场所的相关职业健康安全管理活动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Q：35.15.00</w:t>
            </w:r>
          </w:p>
          <w:p>
            <w:r>
              <w:t>E：35.15.00</w:t>
            </w:r>
          </w:p>
          <w:p>
            <w:r>
              <w:t>O：35.15.00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211"/>
        <w:gridCol w:w="22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1211"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226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石家庄银兴物业服务有限公司</w:t>
            </w:r>
          </w:p>
          <w:p>
            <w:pPr>
              <w:spacing w:before="40" w:after="40"/>
              <w:rPr>
                <w:rFonts w:eastAsia="黑体"/>
                <w:szCs w:val="21"/>
                <w:lang w:val="de-DE" w:eastAsia="ja-JP"/>
              </w:rPr>
            </w:pPr>
            <w:r>
              <w:rPr>
                <w:rFonts w:hint="eastAsia" w:eastAsia="黑体"/>
                <w:szCs w:val="21"/>
                <w:lang w:val="de-DE" w:eastAsia="ja-JP"/>
              </w:rPr>
              <w:t>河北省石家庄市长安区和平东路528号金嘉园小区办公楼301室</w:t>
            </w:r>
          </w:p>
        </w:tc>
        <w:tc>
          <w:tcPr>
            <w:tcW w:w="2267" w:type="dxa"/>
          </w:tcPr>
          <w:p>
            <w:pPr>
              <w:spacing w:before="40" w:after="40"/>
              <w:rPr>
                <w:rFonts w:eastAsia="黑体"/>
                <w:szCs w:val="21"/>
                <w:lang w:val="de-DE" w:eastAsia="ja-JP"/>
              </w:rPr>
            </w:pPr>
            <w:r>
              <w:rPr>
                <w:rFonts w:hint="eastAsia" w:eastAsia="黑体"/>
                <w:szCs w:val="21"/>
                <w:lang w:val="de-DE" w:eastAsia="ja-JP"/>
              </w:rPr>
              <w:t>河北省石家庄市长安区和平东路528号金嘉园小区办公楼301室</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23</w:t>
            </w:r>
          </w:p>
        </w:tc>
        <w:tc>
          <w:tcPr>
            <w:tcW w:w="1211" w:type="dxa"/>
            <w:vAlign w:val="center"/>
          </w:tcPr>
          <w:p>
            <w:pPr>
              <w:pStyle w:val="21"/>
              <w:rPr>
                <w:rFonts w:eastAsia="黑体" w:cs="Arial"/>
                <w:sz w:val="21"/>
                <w:szCs w:val="21"/>
                <w:lang w:val="en-US" w:eastAsia="ja-JP"/>
              </w:rPr>
            </w:pPr>
            <w:r>
              <w:rPr>
                <w:sz w:val="21"/>
                <w:szCs w:val="21"/>
              </w:rPr>
              <w:t>物业管理</w:t>
            </w:r>
          </w:p>
        </w:tc>
        <w:tc>
          <w:tcPr>
            <w:tcW w:w="2261"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870" w:type="dxa"/>
            <w:vAlign w:val="center"/>
          </w:tcPr>
          <w:p>
            <w:r>
              <w:t>2019-N1QMS-1244880</w:t>
            </w:r>
          </w:p>
          <w:p>
            <w:r>
              <w:t>2021-N1EMS-1244880</w:t>
            </w:r>
          </w:p>
        </w:tc>
        <w:tc>
          <w:tcPr>
            <w:tcW w:w="2179" w:type="dxa"/>
            <w:vAlign w:val="center"/>
          </w:tcPr>
          <w:p>
            <w:r>
              <w:t>E:35.15.00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2021-N1QMS-1215052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张会领</w:t>
            </w:r>
          </w:p>
        </w:tc>
        <w:tc>
          <w:tcPr>
            <w:tcW w:w="1089" w:type="dxa"/>
            <w:vAlign w:val="center"/>
          </w:tcPr>
          <w:p>
            <w:r>
              <w:t>组员</w:t>
            </w:r>
          </w:p>
        </w:tc>
        <w:tc>
          <w:tcPr>
            <w:tcW w:w="711" w:type="dxa"/>
            <w:vAlign w:val="center"/>
          </w:tcPr>
          <w:p>
            <w:r>
              <w:t>女</w:t>
            </w:r>
          </w:p>
        </w:tc>
        <w:tc>
          <w:tcPr>
            <w:tcW w:w="3870" w:type="dxa"/>
            <w:vAlign w:val="center"/>
          </w:tcPr>
          <w:p>
            <w:r>
              <w:t>ISC-JSZJ-175</w:t>
            </w:r>
          </w:p>
          <w:p>
            <w:r>
              <w:t>ISC-JSZJ-175</w:t>
            </w:r>
          </w:p>
          <w:p>
            <w:r>
              <w:t>ISC-JSZJ-175</w:t>
            </w:r>
          </w:p>
          <w:p>
            <w:r>
              <w:t>石家庄市卓畅商务服务有限公司</w:t>
            </w:r>
          </w:p>
        </w:tc>
        <w:tc>
          <w:tcPr>
            <w:tcW w:w="2179" w:type="dxa"/>
            <w:vAlign w:val="center"/>
          </w:tcPr>
          <w:p>
            <w:r>
              <w:t>Q:35.15.00</w:t>
            </w:r>
          </w:p>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default"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1167765</wp:posOffset>
                  </wp:positionH>
                  <wp:positionV relativeFrom="paragraph">
                    <wp:posOffset>206375</wp:posOffset>
                  </wp:positionV>
                  <wp:extent cx="968375" cy="46609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68375" cy="466090"/>
                          </a:xfrm>
                          <a:prstGeom prst="rect">
                            <a:avLst/>
                          </a:prstGeom>
                        </pic:spPr>
                      </pic:pic>
                    </a:graphicData>
                  </a:graphic>
                </wp:anchor>
              </w:drawing>
            </w:r>
            <w:r>
              <w:rPr>
                <w:rFonts w:hint="eastAsia" w:ascii="宋体" w:hAnsi="宋体"/>
                <w:b/>
                <w:color w:val="000000"/>
                <w:spacing w:val="-10"/>
                <w:szCs w:val="21"/>
              </w:rPr>
              <w:t>远程审核的相关结论如下：</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2022年3月8日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ascii="楷体" w:hAnsi="楷体" w:eastAsia="楷体" w:cs="楷体"/>
                <w:sz w:val="21"/>
                <w:szCs w:val="21"/>
                <w:lang w:eastAsia="zh-CN"/>
              </w:rPr>
            </w:pPr>
            <w:r>
              <w:rPr>
                <w:rFonts w:hint="eastAsia" w:ascii="楷体" w:hAnsi="楷体" w:eastAsia="楷体" w:cs="楷体"/>
                <w:sz w:val="21"/>
                <w:szCs w:val="21"/>
                <w:lang w:eastAsia="zh-CN"/>
              </w:rPr>
              <w:t>真诚服务、客户满意；保护环境、节能降耗；以人为本、保障安全</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公司是是否充分及时收集评估，并转化为公司制度执行，符合新法规要求</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主要职能部门按照要求定期收集评法律法规</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人员不足。能力不足。沟通不畅</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采取的适当措施可包括对在职人员进行培训、辅导或重新分配工作，或者招聘具备能力的人员等。</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设备产能不足。设备能力不足。设备经常损坏，影响服务进度。</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设备的保养及备件储备。建立完整的设备故障应急预案，以确保服务过程的持续流畅</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5"/>
              <w:gridCol w:w="248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482"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eastAsia="zh-CN"/>
                    </w:rPr>
                    <w:t>项目服务合格率达到9</w:t>
                  </w:r>
                  <w:r>
                    <w:rPr>
                      <w:rFonts w:hint="eastAsia" w:ascii="Times New Roman" w:hAnsi="Times New Roman" w:eastAsia="宋体" w:cs="Times New Roman"/>
                      <w:sz w:val="18"/>
                      <w:szCs w:val="18"/>
                      <w:lang w:val="en-US" w:eastAsia="zh-CN"/>
                    </w:rPr>
                    <w:t>0</w:t>
                  </w:r>
                  <w:r>
                    <w:rPr>
                      <w:rFonts w:hint="eastAsia" w:ascii="Times New Roman" w:hAnsi="Times New Roman" w:eastAsia="宋体" w:cs="Times New Roman"/>
                      <w:sz w:val="18"/>
                      <w:szCs w:val="18"/>
                      <w:lang w:eastAsia="zh-CN"/>
                    </w:rPr>
                    <w:t>%</w:t>
                  </w:r>
                </w:p>
              </w:tc>
              <w:tc>
                <w:tcPr>
                  <w:tcW w:w="2482" w:type="dxa"/>
                  <w:shd w:val="clear" w:color="auto" w:fill="auto"/>
                  <w:vAlign w:val="center"/>
                </w:tcPr>
                <w:p>
                  <w:pPr>
                    <w:rPr>
                      <w:rFonts w:hint="eastAsia" w:ascii="Times New Roman" w:hAnsi="Times New Roman" w:eastAsia="宋体" w:cs="Times New Roman"/>
                      <w:sz w:val="18"/>
                      <w:szCs w:val="18"/>
                      <w:lang w:val="en-GB"/>
                    </w:rPr>
                  </w:pPr>
                  <w:r>
                    <w:rPr>
                      <w:rFonts w:hint="eastAsia" w:ascii="Times New Roman" w:hAnsi="Times New Roman" w:eastAsia="宋体" w:cs="Times New Roman"/>
                      <w:sz w:val="18"/>
                      <w:szCs w:val="18"/>
                      <w:lang w:val="en-GB"/>
                    </w:rPr>
                    <w:t>合格批次/交付批次</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eastAsia="宋体"/>
                      <w:lang w:val="en-US" w:eastAsia="zh-CN"/>
                    </w:rPr>
                    <w:t>物业部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客户满意率达</w:t>
                  </w:r>
                  <w:r>
                    <w:rPr>
                      <w:rFonts w:hint="eastAsia" w:ascii="Times New Roman" w:hAnsi="Times New Roman" w:eastAsia="宋体" w:cs="Times New Roman"/>
                      <w:sz w:val="18"/>
                      <w:szCs w:val="18"/>
                      <w:lang w:eastAsia="zh-CN"/>
                    </w:rPr>
                    <w:t>到</w:t>
                  </w:r>
                  <w:r>
                    <w:rPr>
                      <w:rFonts w:hint="eastAsia" w:ascii="Times New Roman" w:hAnsi="Times New Roman" w:eastAsia="宋体" w:cs="Times New Roman"/>
                      <w:sz w:val="18"/>
                      <w:szCs w:val="18"/>
                    </w:rPr>
                    <w:t>9</w:t>
                  </w:r>
                  <w:r>
                    <w:rPr>
                      <w:rFonts w:hint="eastAsia" w:ascii="Times New Roman" w:hAnsi="Times New Roman" w:eastAsia="宋体" w:cs="Times New Roman"/>
                      <w:sz w:val="18"/>
                      <w:szCs w:val="18"/>
                      <w:lang w:val="en-US" w:eastAsia="zh-CN"/>
                    </w:rPr>
                    <w:t>0</w:t>
                  </w:r>
                  <w:r>
                    <w:rPr>
                      <w:rFonts w:hint="eastAsia" w:ascii="Times New Roman" w:hAnsi="Times New Roman" w:eastAsia="宋体" w:cs="Times New Roman"/>
                      <w:sz w:val="18"/>
                      <w:szCs w:val="18"/>
                    </w:rPr>
                    <w:t>%</w:t>
                  </w:r>
                </w:p>
              </w:tc>
              <w:tc>
                <w:tcPr>
                  <w:tcW w:w="2482" w:type="dxa"/>
                  <w:shd w:val="clear" w:color="auto" w:fill="auto"/>
                  <w:vAlign w:val="center"/>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物业部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9</w:t>
                  </w:r>
                  <w:r>
                    <w:rPr>
                      <w:rFonts w:hint="eastAsia" w:ascii="宋体" w:hAnsi="宋体"/>
                      <w:lang w:val="en-US" w:eastAsia="zh-CN"/>
                    </w:rPr>
                    <w:t>0</w:t>
                  </w:r>
                  <w:r>
                    <w:rPr>
                      <w:rFonts w:hint="eastAsia" w:ascii="宋体" w:hAnsi="宋体"/>
                      <w:lang w:val="en-GB"/>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lang w:eastAsia="zh-CN"/>
              </w:rPr>
              <w:t>打草机、割草机、绿篱机、打药机、大剪子、扫帚、拖把、维修工具</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w:t>
            </w:r>
            <w:r>
              <w:rPr>
                <w:rFonts w:hint="eastAsia" w:ascii="楷体" w:hAnsi="楷体" w:eastAsia="楷体" w:cs="楷体"/>
                <w:b/>
                <w:bCs w:val="0"/>
                <w:color w:val="auto"/>
                <w:sz w:val="21"/>
                <w:szCs w:val="21"/>
                <w:lang w:eastAsia="zh-CN"/>
              </w:rPr>
              <w:t>电梯维保、垃圾清运、二次供水设施清洗消毒</w:t>
            </w:r>
            <w:r>
              <w:rPr>
                <w:rFonts w:hint="eastAsia"/>
                <w:lang w:val="en-US" w:eastAsia="zh-CN"/>
              </w:rPr>
              <w:t>外包方进行评价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rFonts w:hint="eastAsia"/>
              </w:rPr>
            </w:pPr>
            <w:r>
              <w:rPr>
                <w:rFonts w:hint="eastAsia"/>
              </w:rPr>
              <w:t>认证范围内每种产品/服务流程的关键过程及控制参数：</w:t>
            </w:r>
          </w:p>
          <w:p>
            <w:pPr>
              <w:pStyle w:val="2"/>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07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pPr>
                  <w:r>
                    <w:rPr>
                      <w:rFonts w:hint="eastAsia"/>
                    </w:rPr>
                    <w:t>产品/服务名称</w:t>
                  </w:r>
                </w:p>
              </w:tc>
              <w:tc>
                <w:tcPr>
                  <w:tcW w:w="207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rPr>
                      <w:rFonts w:hint="eastAsia" w:eastAsia="宋体"/>
                      <w:lang w:eastAsia="zh-CN"/>
                    </w:rPr>
                  </w:pPr>
                  <w:r>
                    <w:rPr>
                      <w:sz w:val="20"/>
                    </w:rPr>
                    <w:t>物业管理</w:t>
                  </w:r>
                </w:p>
              </w:tc>
              <w:tc>
                <w:tcPr>
                  <w:tcW w:w="2076" w:type="dxa"/>
                </w:tcPr>
                <w:p>
                  <w:pPr>
                    <w:shd w:val="clear" w:color="auto" w:fill="C7DAF1" w:themeFill="text2" w:themeFillTint="32"/>
                    <w:jc w:val="left"/>
                    <w:rPr>
                      <w:rFonts w:hint="default" w:eastAsia="宋体"/>
                      <w:lang w:val="en-US" w:eastAsia="zh-CN"/>
                    </w:rPr>
                  </w:pPr>
                  <w:r>
                    <w:rPr>
                      <w:rFonts w:hint="eastAsia"/>
                      <w:lang w:val="en-US" w:eastAsia="zh-CN"/>
                    </w:rPr>
                    <w:t>物业服务</w:t>
                  </w:r>
                </w:p>
              </w:tc>
              <w:tc>
                <w:tcPr>
                  <w:tcW w:w="3265" w:type="dxa"/>
                </w:tcPr>
                <w:p>
                  <w:pPr>
                    <w:shd w:val="clear" w:color="auto" w:fill="C7DAF1" w:themeFill="text2" w:themeFillTint="32"/>
                    <w:jc w:val="left"/>
                    <w:rPr>
                      <w:rFonts w:hint="default"/>
                      <w:lang w:val="en-US"/>
                    </w:rPr>
                  </w:pPr>
                  <w:r>
                    <w:rPr>
                      <w:rFonts w:hint="eastAsia"/>
                      <w:color w:val="000000"/>
                      <w:u w:val="single"/>
                      <w:lang w:val="en-US" w:eastAsia="zh-CN"/>
                    </w:rPr>
                    <w:t>客户需求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物业服务</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18-19</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rPr>
                <w:rFonts w:hint="eastAsia"/>
              </w:rPr>
            </w:pPr>
            <w:r>
              <w:rPr>
                <w:rFonts w:hint="eastAsia"/>
                <w:lang w:eastAsia="zh-CN"/>
              </w:rPr>
              <w:t>☑</w:t>
            </w:r>
            <w:r>
              <w:rPr>
                <w:rFonts w:hint="eastAsia"/>
              </w:rPr>
              <w:t>内审贯穿了多场所/临时现场，内审的验证结论是正面的。管理者代表相应的职权覆盖了所有的场所。）</w:t>
            </w: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9</w:t>
            </w:r>
            <w:r>
              <w:rPr>
                <w:rFonts w:hint="eastAsia"/>
              </w:rPr>
              <w:t>日对组织的质量管理体系进行了评审，以确保其持续的适宜性、充分性和有效性；管理评审输入、输出均按要求提供。并对提出的改进措施进行了落实。</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ascii="楷体" w:hAnsi="楷体" w:eastAsia="楷体" w:cs="楷体"/>
                <w:sz w:val="21"/>
                <w:szCs w:val="21"/>
                <w:lang w:eastAsia="zh-CN"/>
              </w:rPr>
            </w:pPr>
            <w:r>
              <w:rPr>
                <w:rFonts w:hint="eastAsia" w:ascii="楷体" w:hAnsi="楷体" w:eastAsia="楷体" w:cs="楷体"/>
                <w:sz w:val="21"/>
                <w:szCs w:val="21"/>
                <w:lang w:eastAsia="zh-CN"/>
              </w:rPr>
              <w:t>真诚服务、客户满意；保护环境、节能降耗；以人为本、保障安全</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74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3" w:type="dxa"/>
                </w:tcPr>
                <w:p>
                  <w:pPr>
                    <w:shd w:val="clear" w:color="auto" w:fill="EBF1DE" w:themeFill="accent3" w:themeFillTint="32"/>
                  </w:pPr>
                  <w:r>
                    <w:rPr>
                      <w:rFonts w:hint="eastAsia"/>
                    </w:rPr>
                    <w:t>主要的风险或机遇描述</w:t>
                  </w:r>
                </w:p>
              </w:tc>
              <w:tc>
                <w:tcPr>
                  <w:tcW w:w="3742"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3" w:type="dxa"/>
                </w:tcPr>
                <w:p>
                  <w:pPr>
                    <w:shd w:val="clear" w:color="auto" w:fill="EBF1DE" w:themeFill="accent3" w:themeFillTint="32"/>
                    <w:rPr>
                      <w:rFonts w:hint="default" w:eastAsia="宋体"/>
                      <w:lang w:val="en-US" w:eastAsia="zh-CN"/>
                    </w:rPr>
                  </w:pPr>
                  <w:r>
                    <w:rPr>
                      <w:rFonts w:hint="eastAsia"/>
                      <w:lang w:val="en-US" w:eastAsia="zh-CN"/>
                    </w:rPr>
                    <w:t>垃圾清运不及时导致环境污染</w:t>
                  </w:r>
                </w:p>
              </w:tc>
              <w:tc>
                <w:tcPr>
                  <w:tcW w:w="3742" w:type="dxa"/>
                </w:tcPr>
                <w:p>
                  <w:pPr>
                    <w:shd w:val="clear" w:color="auto" w:fill="EBF1DE" w:themeFill="accent3" w:themeFillTint="32"/>
                  </w:pPr>
                  <w:r>
                    <w:rPr>
                      <w:rFonts w:hint="eastAsia" w:ascii="宋体" w:hAnsi="宋体" w:eastAsia="宋体" w:cs="宋体"/>
                      <w:b w:val="0"/>
                      <w:bCs w:val="0"/>
                      <w:kern w:val="0"/>
                      <w:sz w:val="21"/>
                      <w:szCs w:val="21"/>
                      <w:lang w:val="en-US" w:eastAsia="zh-CN" w:bidi="ar-SA"/>
                    </w:rPr>
                    <w:t>物业部要严格按照垃圾清运管理规定，做好垃圾清运工作</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能源消耗□资源消耗□废水排放□废气排放□粉尘排放</w:t>
            </w:r>
            <w:r>
              <w:rPr>
                <w:rFonts w:hint="eastAsia"/>
                <w:lang w:eastAsia="zh-CN"/>
              </w:rPr>
              <w:t>☑</w:t>
            </w:r>
            <w:r>
              <w:rPr>
                <w:rFonts w:hint="eastAsia"/>
                <w:lang w:val="en-US" w:eastAsia="zh-CN"/>
              </w:rPr>
              <w:t>固</w:t>
            </w:r>
            <w:r>
              <w:rPr>
                <w:rFonts w:hint="eastAsia"/>
              </w:rPr>
              <w:t>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3137"/>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7"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hint="eastAsia" w:eastAsia="宋体"/>
                      <w:sz w:val="18"/>
                      <w:szCs w:val="18"/>
                      <w:lang w:eastAsia="zh-CN"/>
                    </w:rPr>
                  </w:pPr>
                  <w:r>
                    <w:rPr>
                      <w:rFonts w:hint="eastAsia" w:ascii="宋体" w:hAnsi="宋体" w:cs="宋体"/>
                      <w:b w:val="0"/>
                      <w:bCs w:val="0"/>
                      <w:kern w:val="0"/>
                      <w:sz w:val="18"/>
                      <w:szCs w:val="18"/>
                    </w:rPr>
                    <w:t>不发生重大环境事故</w:t>
                  </w:r>
                  <w:r>
                    <w:rPr>
                      <w:rFonts w:hint="eastAsia" w:ascii="宋体" w:hAnsi="宋体" w:cs="宋体"/>
                      <w:b w:val="0"/>
                      <w:bCs w:val="0"/>
                      <w:kern w:val="0"/>
                      <w:sz w:val="18"/>
                      <w:szCs w:val="18"/>
                      <w:lang w:eastAsia="zh-CN"/>
                    </w:rPr>
                    <w:t>；</w:t>
                  </w:r>
                  <w:r>
                    <w:rPr>
                      <w:rFonts w:hint="eastAsia"/>
                      <w:bCs/>
                      <w:sz w:val="18"/>
                      <w:szCs w:val="18"/>
                    </w:rPr>
                    <w:t>固体废弃物分类处理率达100%</w:t>
                  </w:r>
                </w:p>
              </w:tc>
              <w:tc>
                <w:tcPr>
                  <w:tcW w:w="3137" w:type="dxa"/>
                  <w:shd w:val="clear" w:color="auto" w:fill="auto"/>
                  <w:vAlign w:val="center"/>
                </w:tcPr>
                <w:p>
                  <w:pPr>
                    <w:shd w:val="clear" w:color="auto" w:fill="EBF1DE" w:themeFill="accent3" w:themeFillTint="32"/>
                    <w:rPr>
                      <w:sz w:val="18"/>
                      <w:szCs w:val="18"/>
                      <w:lang w:val="en-GB"/>
                    </w:rPr>
                  </w:pPr>
                  <w:r>
                    <w:rPr>
                      <w:rFonts w:hint="eastAsia" w:ascii="Times New Roman" w:hAnsi="Times New Roman" w:cs="Times New Roman"/>
                      <w:sz w:val="18"/>
                      <w:szCs w:val="18"/>
                      <w:lang w:val="en-US" w:eastAsia="zh-CN"/>
                    </w:rPr>
                    <w:t>综合部对人员进行培训，办公场所设置禁烟警示标识；及时更换失效的消防器材；对火灾进行应急预案演练；定期检查，及时排除火灾隐患</w:t>
                  </w:r>
                </w:p>
              </w:tc>
              <w:tc>
                <w:tcPr>
                  <w:tcW w:w="1214" w:type="dxa"/>
                  <w:shd w:val="clear" w:color="auto" w:fill="auto"/>
                  <w:vAlign w:val="center"/>
                </w:tcPr>
                <w:p>
                  <w:pPr>
                    <w:shd w:val="clear" w:color="auto" w:fill="EBF1DE" w:themeFill="accent3" w:themeFillTint="32"/>
                    <w:rPr>
                      <w:rFonts w:hint="eastAsia" w:eastAsia="宋体"/>
                      <w:sz w:val="18"/>
                      <w:szCs w:val="18"/>
                      <w:lang w:val="en-US" w:eastAsia="zh-CN"/>
                    </w:rPr>
                  </w:pPr>
                  <w:r>
                    <w:rPr>
                      <w:rFonts w:hint="eastAsia"/>
                      <w:sz w:val="18"/>
                      <w:szCs w:val="18"/>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sz w:val="18"/>
                      <w:szCs w:val="18"/>
                      <w:lang w:val="en-US" w:eastAsia="zh-CN"/>
                    </w:rPr>
                  </w:pPr>
                  <w:r>
                    <w:rPr>
                      <w:rFonts w:hint="eastAsia" w:ascii="宋体" w:hAnsi="宋体"/>
                      <w:sz w:val="18"/>
                      <w:szCs w:val="18"/>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w:t>
            </w:r>
            <w:r>
              <w:rPr>
                <w:rFonts w:hint="eastAsia"/>
                <w:lang w:val="en-US" w:eastAsia="zh-CN"/>
              </w:rPr>
              <w:t>200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default" w:eastAsia="楷体"/>
                <w:u w:val="single"/>
                <w:lang w:val="en-US" w:eastAsia="zh-CN"/>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r>
              <w:rPr>
                <w:rFonts w:hint="eastAsia" w:ascii="楷体" w:hAnsi="楷体" w:eastAsia="楷体"/>
                <w:szCs w:val="21"/>
                <w:lang w:eastAsia="zh-CN"/>
              </w:rPr>
              <w:t>、</w:t>
            </w:r>
            <w:r>
              <w:rPr>
                <w:rFonts w:hint="eastAsia" w:ascii="楷体" w:hAnsi="楷体" w:eastAsia="楷体"/>
                <w:szCs w:val="21"/>
                <w:lang w:val="en-US" w:eastAsia="zh-CN"/>
              </w:rPr>
              <w:t>维修工具、清扫设备</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w:t>
            </w:r>
            <w:r>
              <w:rPr>
                <w:rFonts w:hint="eastAsia" w:ascii="楷体" w:hAnsi="楷体" w:eastAsia="楷体" w:cs="楷体"/>
                <w:b/>
                <w:bCs w:val="0"/>
                <w:color w:val="auto"/>
                <w:sz w:val="21"/>
                <w:szCs w:val="21"/>
                <w:lang w:eastAsia="zh-CN"/>
              </w:rPr>
              <w:t>电梯维保、垃圾清运、二次供水设施清洗消毒</w:t>
            </w:r>
            <w:r>
              <w:rPr>
                <w:rFonts w:hint="eastAsia"/>
                <w:lang w:val="en-US" w:eastAsia="zh-CN"/>
              </w:rPr>
              <w:t>外包方施加影响</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22</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12</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18-19</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9</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w:t>
            </w:r>
            <w:r>
              <w:rPr>
                <w:rFonts w:hint="eastAsia"/>
                <w:lang w:eastAsia="zh-CN"/>
              </w:rPr>
              <w:t>☑</w:t>
            </w:r>
            <w:r>
              <w:rPr>
                <w:rFonts w:hint="eastAsia"/>
              </w:rPr>
              <w:t>设备维修</w:t>
            </w:r>
          </w:p>
          <w:p>
            <w:pPr>
              <w:spacing w:before="40" w:after="40"/>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lang w:eastAsia="zh-CN"/>
              </w:rPr>
            </w:pPr>
            <w:r>
              <w:rPr>
                <w:rFonts w:hint="eastAsia"/>
                <w:lang w:eastAsia="zh-CN"/>
              </w:rPr>
              <w:t>真诚服务、客户满意；保护环境、节能降耗；以人为本、保障安全</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pPr>
              <w:rPr>
                <w:rFonts w:hint="eastAsia"/>
              </w:rPr>
            </w:pPr>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Times New Roman" w:hAnsi="Times New Roman" w:eastAsia="宋体" w:cs="Times New Roman"/>
                <w:b/>
                <w:bCs/>
                <w:sz w:val="22"/>
                <w:szCs w:val="28"/>
                <w:lang w:val="en-US" w:eastAsia="zh-CN"/>
              </w:rPr>
              <w:t>王晓岩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439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4" w:type="dxa"/>
                </w:tcPr>
                <w:p>
                  <w:r>
                    <w:rPr>
                      <w:rFonts w:hint="eastAsia"/>
                    </w:rPr>
                    <w:t>主要的风险或机遇描述</w:t>
                  </w:r>
                </w:p>
              </w:tc>
              <w:tc>
                <w:tcPr>
                  <w:tcW w:w="4391"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4" w:type="dxa"/>
                </w:tcPr>
                <w:p>
                  <w:pPr>
                    <w:rPr>
                      <w:rFonts w:hint="default" w:eastAsia="宋体"/>
                      <w:sz w:val="18"/>
                      <w:szCs w:val="18"/>
                      <w:lang w:val="en-US" w:eastAsia="zh-CN"/>
                    </w:rPr>
                  </w:pPr>
                  <w:r>
                    <w:rPr>
                      <w:rFonts w:hint="eastAsia"/>
                      <w:sz w:val="18"/>
                      <w:szCs w:val="18"/>
                      <w:lang w:val="en-US" w:eastAsia="zh-CN"/>
                    </w:rPr>
                    <w:t>疫情爆发带来的不安定</w:t>
                  </w:r>
                </w:p>
              </w:tc>
              <w:tc>
                <w:tcPr>
                  <w:tcW w:w="4391" w:type="dxa"/>
                </w:tcPr>
                <w:p>
                  <w:pPr>
                    <w:rPr>
                      <w:sz w:val="18"/>
                      <w:szCs w:val="18"/>
                    </w:rPr>
                  </w:pPr>
                  <w:r>
                    <w:rPr>
                      <w:rFonts w:hint="eastAsia" w:ascii="楷体" w:hAnsi="楷体" w:eastAsia="楷体" w:cs="楷体"/>
                      <w:sz w:val="21"/>
                      <w:szCs w:val="21"/>
                      <w:lang w:val="en-US" w:eastAsia="zh-CN"/>
                    </w:rPr>
                    <w:t>制定疫情应对措施，进出小区温度测控设施、电梯的定期消杀、外地人员或去过风险地区人员的报备</w:t>
                  </w:r>
                </w:p>
              </w:tc>
              <w:tc>
                <w:tcPr>
                  <w:tcW w:w="1717"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bCs/>
                      <w:sz w:val="24"/>
                    </w:rPr>
                    <w:t>杜绝</w:t>
                  </w:r>
                  <w:r>
                    <w:rPr>
                      <w:rFonts w:hint="eastAsia"/>
                      <w:bCs/>
                      <w:sz w:val="24"/>
                      <w:lang w:val="en-US" w:eastAsia="zh-CN"/>
                    </w:rPr>
                    <w:t>火灾触电</w:t>
                  </w:r>
                  <w:r>
                    <w:rPr>
                      <w:bCs/>
                      <w:sz w:val="24"/>
                    </w:rPr>
                    <w:t>事故</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综合部对人员进行培训，办公场所设置禁烟警示标识；及时更换失效的消防器材；对火灾进行应急预案演练；定期检查，及时排除火灾隐患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200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rFonts w:hint="default" w:eastAsia="楷体"/>
                <w:u w:val="single"/>
                <w:lang w:val="en-US" w:eastAsia="zh-CN"/>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r>
              <w:rPr>
                <w:rFonts w:hint="eastAsia" w:ascii="楷体" w:hAnsi="楷体" w:eastAsia="楷体"/>
                <w:szCs w:val="21"/>
                <w:lang w:eastAsia="zh-CN"/>
              </w:rPr>
              <w:t>、</w:t>
            </w:r>
            <w:r>
              <w:rPr>
                <w:rFonts w:hint="eastAsia" w:ascii="楷体" w:hAnsi="楷体" w:eastAsia="楷体"/>
                <w:szCs w:val="21"/>
                <w:lang w:val="en-US" w:eastAsia="zh-CN"/>
              </w:rPr>
              <w:t>维修工具、清扫设备</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w:t>
            </w:r>
            <w:r>
              <w:rPr>
                <w:rFonts w:hint="eastAsia" w:ascii="楷体" w:hAnsi="楷体" w:eastAsia="楷体" w:cs="楷体"/>
                <w:b/>
                <w:bCs w:val="0"/>
                <w:color w:val="auto"/>
                <w:sz w:val="21"/>
                <w:szCs w:val="21"/>
                <w:lang w:eastAsia="zh-CN"/>
              </w:rPr>
              <w:t>电梯维保、垃圾清运、二次供水设施清洗消毒</w:t>
            </w:r>
            <w:r>
              <w:rPr>
                <w:rFonts w:hint="eastAsia"/>
                <w:lang w:val="en-US" w:eastAsia="zh-CN"/>
              </w:rPr>
              <w:t>外包方施加影响</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9</w:t>
            </w:r>
            <w:r>
              <w:rPr>
                <w:rFonts w:hint="eastAsia"/>
              </w:rPr>
              <w:t>日进行了</w:t>
            </w:r>
            <w:r>
              <w:rPr>
                <w:rFonts w:hint="eastAsia"/>
                <w:lang w:val="en-US" w:eastAsia="zh-CN"/>
              </w:rPr>
              <w:t>触电</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12</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18-19</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9</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D0386E"/>
    <w:rsid w:val="3DBC2E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19031</Words>
  <Characters>20018</Characters>
  <Lines>150</Lines>
  <Paragraphs>42</Paragraphs>
  <TotalTime>2</TotalTime>
  <ScaleCrop>false</ScaleCrop>
  <LinksUpToDate>false</LinksUpToDate>
  <CharactersWithSpaces>20139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2022-03-13T12:44:08Z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