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1090"/>
        <w:gridCol w:w="1400"/>
        <w:gridCol w:w="296"/>
        <w:gridCol w:w="401"/>
        <w:gridCol w:w="149"/>
        <w:gridCol w:w="816"/>
        <w:gridCol w:w="3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盘锦广利达电气有限公司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盘锦兴隆台区工业开发区1-4-135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黑龙江省大庆市高新区产业三区新荣路11号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姜伟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13796995539</w:t>
            </w:r>
            <w:bookmarkEnd w:id="4"/>
          </w:p>
        </w:tc>
        <w:tc>
          <w:tcPr>
            <w:tcW w:w="69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113806817@qq.com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69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0154-2022-EnMs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2"/>
              </w:rPr>
              <w:t>低压成套开关控制设备、高压成套开关控制设备和变压器的制造、PLC及过程控制系统设备的生产调试、橇装电控一体化产品制造所涉及的能源管理活动。</w:t>
            </w:r>
          </w:p>
        </w:tc>
        <w:tc>
          <w:tcPr>
            <w:tcW w:w="8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ind w:firstLine="400" w:firstLineChars="200"/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2.7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119-2015 能源管理体系 机械制造企业认证要求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远程审核于2022年04月02日 下午至2022年04月04日 下午(共2.5天)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</w:tbl>
    <w:p/>
    <w:p>
      <w:r>
        <w:drawing>
          <wp:inline distT="0" distB="0" distL="114300" distR="114300">
            <wp:extent cx="6675120" cy="2633980"/>
            <wp:effectExtent l="0" t="0" r="508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7" w:name="_GoBack"/>
      <w:bookmarkEnd w:id="27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A</w:t>
            </w:r>
            <w:r>
              <w:rPr>
                <w:rFonts w:hint="eastAsia" w:cs="Times New Roman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2022年4月3日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9.1.1监视、测量、分析、评价、</w:t>
            </w:r>
            <w:r>
              <w:rPr>
                <w:rFonts w:hint="eastAsia" w:ascii="宋体" w:hAnsi="宋体"/>
                <w:szCs w:val="21"/>
              </w:rPr>
              <w:t>10.1 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10.2 持续改进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2022年4月4日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 xml:space="preserve"> A</w:t>
            </w:r>
            <w:r>
              <w:rPr>
                <w:rFonts w:hint="eastAsia" w:cs="Times New Roman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211" w:type="dxa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8.2设计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16:15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16：15-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午餐时间：12:00-12:30</w:t>
      </w: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0B7E9D"/>
    <w:rsid w:val="272025FB"/>
    <w:rsid w:val="3B2C2417"/>
    <w:rsid w:val="4612211C"/>
    <w:rsid w:val="4F563AD4"/>
    <w:rsid w:val="53BA1A35"/>
    <w:rsid w:val="6CB54571"/>
    <w:rsid w:val="700D4C7F"/>
    <w:rsid w:val="75667BCF"/>
    <w:rsid w:val="7FB85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2022-04-08T12:29:55Z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2052-11.1.0.11411</vt:lpwstr>
  </property>
</Properties>
</file>