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0095-2020-QEO-2022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西安硕隆计量检测有限公司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8"/>
        <w:rPr>
          <w:rFonts w:hint="eastAsia"/>
        </w:rPr>
      </w:pPr>
    </w:p>
    <w:p>
      <w:pPr>
        <w:pStyle w:val="18"/>
        <w:rPr>
          <w:rFonts w:hint="eastAsia"/>
        </w:rPr>
      </w:pPr>
    </w:p>
    <w:p>
      <w:pPr>
        <w:pStyle w:val="18"/>
      </w:pPr>
    </w:p>
    <w:p>
      <w:r>
        <w:rPr>
          <w:rFonts w:hint="eastAsia"/>
        </w:rPr>
        <w:t>一、受审核方基本信息</w:t>
      </w:r>
    </w:p>
    <w:tbl>
      <w:tblPr>
        <w:tblStyle w:val="14"/>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西安硕隆计量检测有限公司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西安经济技术开发区草滩六路268号</w:t>
            </w:r>
            <w:bookmarkEnd w:id="6"/>
          </w:p>
        </w:tc>
        <w:tc>
          <w:tcPr>
            <w:tcW w:w="1242" w:type="dxa"/>
            <w:vMerge w:val="restart"/>
            <w:vAlign w:val="center"/>
          </w:tcPr>
          <w:p>
            <w:r>
              <w:rPr>
                <w:rFonts w:hint="eastAsia"/>
              </w:rPr>
              <w:t>邮编</w:t>
            </w:r>
          </w:p>
        </w:tc>
        <w:tc>
          <w:tcPr>
            <w:tcW w:w="1771" w:type="dxa"/>
          </w:tcPr>
          <w:p>
            <w:bookmarkStart w:id="7" w:name="注册邮编"/>
            <w:r>
              <w:t>710016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西安经济技术开发区草滩六路268号</w:t>
            </w:r>
            <w:bookmarkEnd w:id="8"/>
          </w:p>
        </w:tc>
        <w:tc>
          <w:tcPr>
            <w:tcW w:w="1242" w:type="dxa"/>
            <w:vMerge w:val="continue"/>
            <w:vAlign w:val="center"/>
          </w:tcPr>
          <w:p/>
        </w:tc>
        <w:tc>
          <w:tcPr>
            <w:tcW w:w="1771" w:type="dxa"/>
          </w:tcPr>
          <w:p>
            <w:bookmarkStart w:id="9" w:name="办公邮编"/>
            <w:r>
              <w:t>710016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孟宏涛</w:t>
            </w:r>
            <w:bookmarkEnd w:id="10"/>
          </w:p>
        </w:tc>
        <w:tc>
          <w:tcPr>
            <w:tcW w:w="1313" w:type="dxa"/>
            <w:vAlign w:val="center"/>
          </w:tcPr>
          <w:p>
            <w:r>
              <w:rPr>
                <w:rFonts w:hint="eastAsia"/>
              </w:rPr>
              <w:t>电话.</w:t>
            </w:r>
          </w:p>
        </w:tc>
        <w:tc>
          <w:tcPr>
            <w:tcW w:w="2180" w:type="dxa"/>
            <w:vAlign w:val="center"/>
          </w:tcPr>
          <w:p>
            <w:bookmarkStart w:id="11" w:name="联系人电话"/>
            <w:r>
              <w:t>13572226568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周东福</w:t>
            </w:r>
            <w:bookmarkEnd w:id="13"/>
          </w:p>
        </w:tc>
        <w:tc>
          <w:tcPr>
            <w:tcW w:w="1313" w:type="dxa"/>
            <w:vAlign w:val="center"/>
          </w:tcPr>
          <w:p>
            <w:r>
              <w:rPr>
                <w:rFonts w:hint="eastAsia"/>
              </w:rPr>
              <w:t>管理者代表</w:t>
            </w:r>
          </w:p>
        </w:tc>
        <w:tc>
          <w:tcPr>
            <w:tcW w:w="2180" w:type="dxa"/>
          </w:tcPr>
          <w:p>
            <w:bookmarkStart w:id="14" w:name="管理者代表"/>
            <w:r>
              <w:t>孟宏涛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1、检测/校准服务</w:t>
            </w:r>
            <w:r>
              <w:rPr>
                <w:rFonts w:hint="eastAsia" w:ascii="宋体" w:hAnsi="宋体" w:cs="宋体"/>
                <w:color w:val="000000"/>
                <w:kern w:val="0"/>
                <w:sz w:val="21"/>
                <w:szCs w:val="21"/>
                <w:lang w:val="en-US" w:eastAsia="zh-CN" w:bidi="ar"/>
              </w:rPr>
              <w:t>、维修</w:t>
            </w:r>
            <w:r>
              <w:rPr>
                <w:rFonts w:hint="eastAsia" w:ascii="宋体" w:hAnsi="宋体" w:eastAsia="宋体" w:cs="宋体"/>
                <w:color w:val="000000"/>
                <w:kern w:val="0"/>
                <w:sz w:val="21"/>
                <w:szCs w:val="21"/>
                <w:lang w:val="en-US" w:eastAsia="zh-CN" w:bidi="ar"/>
              </w:rPr>
              <w:t>流程</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委托检测→签订委托协议→综合办公室受理、接收计量设备→</w:t>
            </w:r>
            <w:r>
              <w:rPr>
                <w:rFonts w:hint="eastAsia" w:ascii="宋体" w:hAnsi="宋体" w:cs="宋体"/>
                <w:color w:val="000000"/>
                <w:kern w:val="0"/>
                <w:sz w:val="21"/>
                <w:szCs w:val="21"/>
                <w:lang w:val="en-US" w:eastAsia="zh-CN" w:bidi="ar"/>
              </w:rPr>
              <w:t>维修（如需要）</w:t>
            </w:r>
            <w:r>
              <w:rPr>
                <w:rFonts w:hint="eastAsia" w:ascii="宋体" w:hAnsi="宋体" w:eastAsia="宋体" w:cs="宋体"/>
                <w:color w:val="000000"/>
                <w:kern w:val="0"/>
                <w:sz w:val="21"/>
                <w:szCs w:val="21"/>
                <w:lang w:val="en-US" w:eastAsia="zh-CN" w:bidi="ar"/>
              </w:rPr>
              <w:t>→计量设备校准→填写原始记录→原始数据校对与审核→检测报告编制、审核与签发</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2、设计服务流程</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客户设计咨询→质量技术确认→质量质量技术部出具设计方案→客户确认方案→出具设计方案→用户</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3、咨询服务流程</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用户提出要求→分析要求→报价、拟合同→制定产品指标、产品标准→完善技术文件→提交审核</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4、销售服务流程</w:t>
            </w:r>
          </w:p>
          <w:p>
            <w:r>
              <w:rPr>
                <w:rFonts w:hint="eastAsia" w:ascii="宋体" w:hAnsi="宋体" w:eastAsia="宋体" w:cs="宋体"/>
                <w:color w:val="000000"/>
                <w:kern w:val="0"/>
                <w:sz w:val="21"/>
                <w:szCs w:val="21"/>
                <w:lang w:val="en-US" w:eastAsia="zh-CN" w:bidi="ar"/>
              </w:rPr>
              <w:t xml:space="preserve"> 接收用户订单→签订合同→按照合同要求开始检测任务/合同相关需求—出具收费明细单→开具发票→合同款项回收→合同完成</w:t>
            </w:r>
          </w:p>
        </w:tc>
      </w:tr>
    </w:tbl>
    <w:p/>
    <w:p>
      <w:r>
        <w:rPr>
          <w:rFonts w:hint="eastAsia"/>
        </w:rPr>
        <w:t>二、本次审核信息</w:t>
      </w:r>
    </w:p>
    <w:tbl>
      <w:tblPr>
        <w:tblStyle w:val="14"/>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2022年03月10日 上午至2022年03月11日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西安经济技术开发区草滩六路268号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Q：智能设备、工业设备、机电产品、电子产品、仪器仪表的计量检测、销售；计量仪器仪表的维修及技术服务；产业计量、环保节能技术软件的研发</w:t>
            </w:r>
          </w:p>
          <w:p>
            <w:r>
              <w:t>E：智能设备、工业设备、机电产品、电子产品、仪器仪表的计量检测、销售；计量仪器仪表的维修及技术服务；产业计量、环保节能技术软件的研发及相关环境管理活动</w:t>
            </w:r>
          </w:p>
          <w:p>
            <w:r>
              <w:t>O：智能设备、工业设备、机电产品、电子产品、仪器仪表的计量检测、销售；计量仪器仪表的维修及技术服务；产业计量、环保节能技术软件的研发及相关职业健康安全管理活动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Q：29.12.00;34.02.00;34.05.00;34.06.00</w:t>
            </w:r>
          </w:p>
          <w:p>
            <w:r>
              <w:t>E：29.12.00;34.02.00;34.05.00;34.06.00</w:t>
            </w:r>
          </w:p>
          <w:p>
            <w:r>
              <w:t>O：29.12.00;34.02.00;34.05.00;34.06.00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bookmarkStart w:id="31" w:name="审核开始日"/>
            <w:r>
              <w:rPr>
                <w:rFonts w:hint="eastAsia"/>
                <w:b/>
                <w:sz w:val="20"/>
              </w:rPr>
              <w:t>2021年05月04日 上午</w:t>
            </w:r>
            <w:bookmarkEnd w:id="31"/>
            <w:r>
              <w:rPr>
                <w:rFonts w:hint="eastAsia"/>
                <w:b/>
                <w:sz w:val="20"/>
              </w:rPr>
              <w:t>至2021年05月05日上午</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lang w:val="en-US"/>
              </w:rPr>
            </w:pPr>
            <w:r>
              <w:rPr>
                <w:rFonts w:hint="eastAsia"/>
              </w:rPr>
              <w:t>有效至</w:t>
            </w:r>
            <w:r>
              <w:rPr>
                <w:rFonts w:hint="eastAsia"/>
                <w:lang w:val="en-US" w:eastAsia="zh-CN"/>
              </w:rPr>
              <w:t>2023年4月12日</w:t>
            </w:r>
          </w:p>
        </w:tc>
      </w:tr>
    </w:tbl>
    <w:p/>
    <w:p>
      <w:pPr>
        <w:rPr>
          <w:lang w:eastAsia="ja-JP"/>
        </w:rPr>
      </w:pPr>
      <w:r>
        <w:rPr>
          <w:rFonts w:hint="eastAsia"/>
        </w:rPr>
        <w:t>本次审核</w:t>
      </w:r>
      <w:r>
        <w:t>覆盖以下各场所/场地及其对应的范围:</w:t>
      </w:r>
    </w:p>
    <w:tbl>
      <w:tblPr>
        <w:tblStyle w:val="14"/>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西安硕隆计量检测有限公司</w:t>
            </w:r>
            <w:r>
              <w:rPr>
                <w:rFonts w:hint="eastAsia"/>
                <w:sz w:val="21"/>
                <w:szCs w:val="21"/>
                <w:lang w:val="en-US" w:eastAsia="zh-CN"/>
              </w:rPr>
              <w:t>/</w:t>
            </w:r>
            <w:r>
              <w:rPr>
                <w:rFonts w:asciiTheme="minorEastAsia" w:hAnsiTheme="minorEastAsia" w:eastAsiaTheme="minorEastAsia"/>
                <w:sz w:val="20"/>
              </w:rPr>
              <w:t>西安经济技术开发区草滩六路268号</w:t>
            </w:r>
          </w:p>
        </w:tc>
        <w:tc>
          <w:tcPr>
            <w:tcW w:w="2267" w:type="dxa"/>
          </w:tcPr>
          <w:p>
            <w:pPr>
              <w:rPr>
                <w:lang w:val="de-DE" w:eastAsia="ja-JP"/>
              </w:rPr>
            </w:pPr>
            <w:r>
              <w:rPr>
                <w:rFonts w:asciiTheme="minorEastAsia" w:hAnsiTheme="minorEastAsia" w:eastAsiaTheme="minorEastAsia"/>
                <w:sz w:val="20"/>
              </w:rPr>
              <w:t>西安经济技术开发区草滩六路268号</w:t>
            </w:r>
          </w:p>
        </w:tc>
        <w:tc>
          <w:tcPr>
            <w:tcW w:w="571" w:type="dxa"/>
            <w:vAlign w:val="center"/>
          </w:tcPr>
          <w:p>
            <w:pPr>
              <w:rPr>
                <w:lang w:eastAsia="ja-JP"/>
              </w:rPr>
            </w:pPr>
          </w:p>
        </w:tc>
        <w:tc>
          <w:tcPr>
            <w:tcW w:w="2803" w:type="dxa"/>
            <w:vAlign w:val="center"/>
          </w:tcPr>
          <w:p>
            <w:pPr>
              <w:rPr>
                <w:sz w:val="20"/>
              </w:rPr>
            </w:pPr>
            <w:r>
              <w:rPr>
                <w:sz w:val="20"/>
              </w:rPr>
              <w:t>Q：智能设备、工业设备、机电产品、电子产品、仪器仪表的计量检测、销售；计量仪器仪表的维修及技术服务；产业计量、环保节能技术软件的研发</w:t>
            </w:r>
          </w:p>
          <w:p>
            <w:pPr>
              <w:rPr>
                <w:sz w:val="20"/>
              </w:rPr>
            </w:pPr>
            <w:r>
              <w:rPr>
                <w:sz w:val="20"/>
              </w:rPr>
              <w:t>E：智能设备、工业设备、机电产品、电子产品、仪器仪表的计量检测、销售；计量仪器仪表的维修及技术服务；产业计量、环保节能技术软件的研发及相关环境管理活动</w:t>
            </w:r>
          </w:p>
          <w:p>
            <w:pPr>
              <w:rPr>
                <w:lang w:eastAsia="ja-JP"/>
              </w:rPr>
            </w:pPr>
            <w:r>
              <w:rPr>
                <w:sz w:val="20"/>
              </w:rPr>
              <w:t>O：智能设备、工业设备、机电产品、电子产品、仪器仪表的计量检测、销售；计量仪器仪表的维修及技术服务；产业计量、环保节能技术软件的研发及相关职业健康安全管理活动</w:t>
            </w:r>
          </w:p>
        </w:tc>
        <w:tc>
          <w:tcPr>
            <w:tcW w:w="669" w:type="dxa"/>
            <w:vAlign w:val="center"/>
          </w:tcPr>
          <w:p>
            <w:pPr>
              <w:rPr>
                <w:rFonts w:ascii="宋体" w:hAnsi="宋体"/>
                <w:b/>
                <w:sz w:val="21"/>
                <w:szCs w:val="21"/>
              </w:rPr>
            </w:pPr>
            <w:r>
              <w:rPr>
                <w:rFonts w:hint="eastAsia" w:ascii="宋体" w:hAnsi="宋体"/>
                <w:b/>
                <w:sz w:val="21"/>
                <w:szCs w:val="21"/>
              </w:rPr>
              <w:t>■GB/T19001-2016/■GB/T24001-2016■GB/T 45001-2020</w:t>
            </w:r>
          </w:p>
          <w:p>
            <w:pPr>
              <w:rPr>
                <w:lang w:eastAsia="ja-JP"/>
              </w:rPr>
            </w:pP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9"/>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pStyle w:val="6"/>
        <w:rPr>
          <w:highlight w:val="cyan"/>
        </w:rPr>
      </w:pPr>
    </w:p>
    <w:p>
      <w:pPr>
        <w:pStyle w:val="7"/>
        <w:rPr>
          <w:highlight w:val="cyan"/>
        </w:rPr>
      </w:pPr>
    </w:p>
    <w:p>
      <w:pPr>
        <w:pStyle w:val="7"/>
        <w:rPr>
          <w:highlight w:val="cyan"/>
        </w:rPr>
      </w:pPr>
    </w:p>
    <w:p>
      <w:pPr>
        <w:pStyle w:val="7"/>
        <w:rPr>
          <w:highlight w:val="cyan"/>
        </w:rPr>
      </w:pPr>
    </w:p>
    <w:p>
      <w:r>
        <w:rPr>
          <w:rFonts w:hint="eastAsia"/>
        </w:rPr>
        <w:t>五、审核组成员信息</w:t>
      </w:r>
    </w:p>
    <w:tbl>
      <w:tblPr>
        <w:tblStyle w:val="14"/>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Q:29.12.00,34.02.00,34.05.00,34.06.00</w:t>
            </w:r>
          </w:p>
          <w:p>
            <w:r>
              <w:t>E:29.12.00,34.02.00,34.05.00,34.06.00</w:t>
            </w:r>
          </w:p>
          <w:p>
            <w:r>
              <w:t>O:29.12.00,34.02.00,34.05.00,34.06.00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Q:29.12.00,34.05.00,34.06.00</w:t>
            </w:r>
          </w:p>
          <w:p>
            <w:r>
              <w:t>E:29.12.00,34.05.00,34.06.00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5"/>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5"/>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4"/>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4"/>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rPr>
          <w:shd w:val="clear" w:color="FFFFFF" w:fill="D9D9D9"/>
        </w:rPr>
      </w:pPr>
      <w:r>
        <w:rPr>
          <w:shd w:val="clear" w:color="FFFFFF" w:fill="D9D9D9"/>
        </w:rPr>
        <w:t>附件ISO 9001:2015 (若不是ISO 9001:2015审核请删除)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rPr>
                <w:rFonts w:hint="eastAsia"/>
              </w:rPr>
            </w:pPr>
            <w:r>
              <w:rPr>
                <w:rFonts w:hint="eastAsia"/>
              </w:rPr>
              <w:t>最高管理者制定了文件化的管理体系方针：</w:t>
            </w:r>
          </w:p>
          <w:p>
            <w:pPr>
              <w:shd w:val="clear" w:color="auto" w:fill="C7DAF1" w:themeFill="text2" w:themeFillTint="32"/>
              <w:spacing w:before="40" w:after="40"/>
              <w:rPr>
                <w:rFonts w:hint="eastAsia" w:ascii="Times New Roman" w:hAnsi="Times New Roman" w:eastAsia="宋体" w:cs="Times New Roman"/>
              </w:rPr>
            </w:pPr>
            <w:r>
              <w:rPr>
                <w:rFonts w:ascii="Times New Roman" w:hAnsi="宋体" w:eastAsia="宋体" w:cs="Arial"/>
                <w:b/>
                <w:color w:val="000000"/>
                <w:sz w:val="24"/>
                <w:szCs w:val="24"/>
              </w:rPr>
              <w:t>科</w:t>
            </w:r>
            <w:r>
              <w:rPr>
                <w:rFonts w:hint="eastAsia"/>
                <w:b/>
                <w:bCs/>
                <w:color w:val="auto"/>
                <w:sz w:val="24"/>
                <w:szCs w:val="24"/>
              </w:rPr>
              <w:t>学、准确、公正、高效、诚信、满意。</w:t>
            </w:r>
            <w:r>
              <w:rPr>
                <w:rFonts w:hint="eastAsia" w:ascii="Times New Roman" w:hAnsi="Times New Roman" w:eastAsia="宋体" w:cs="Times New Roma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numPr>
                      <w:ilvl w:val="0"/>
                      <w:numId w:val="2"/>
                    </w:numPr>
                    <w:shd w:val="clear" w:color="auto" w:fill="C7DAF1" w:themeFill="text2" w:themeFillTint="32"/>
                    <w:rPr>
                      <w:rFonts w:hint="eastAsia"/>
                    </w:rPr>
                  </w:pPr>
                  <w:r>
                    <w:rPr>
                      <w:rFonts w:hint="eastAsia"/>
                      <w:lang w:eastAsia="zh-CN"/>
                    </w:rPr>
                    <w:t>市场开发部</w:t>
                  </w:r>
                  <w:r>
                    <w:rPr>
                      <w:rFonts w:hint="eastAsia"/>
                    </w:rPr>
                    <w:t>、综合办公室、</w:t>
                  </w:r>
                  <w:r>
                    <w:rPr>
                      <w:rFonts w:hint="eastAsia"/>
                      <w:lang w:eastAsia="zh-CN"/>
                    </w:rPr>
                    <w:t>质量技术部</w:t>
                  </w:r>
                  <w:r>
                    <w:rPr>
                      <w:rFonts w:hint="eastAsia"/>
                    </w:rPr>
                    <w:t>加强与客户进行质量标准制定的沟通，统一双方的标准和方法。</w:t>
                  </w:r>
                </w:p>
                <w:p>
                  <w:pPr>
                    <w:pStyle w:val="18"/>
                    <w:numPr>
                      <w:ilvl w:val="0"/>
                      <w:numId w:val="2"/>
                    </w:numPr>
                  </w:pPr>
                  <w:r>
                    <w:rPr>
                      <w:rFonts w:hint="eastAsia"/>
                      <w:lang w:eastAsia="zh-CN"/>
                    </w:rPr>
                    <w:t>市场开发部</w:t>
                  </w:r>
                  <w:r>
                    <w:rPr>
                      <w:rFonts w:hint="eastAsia"/>
                    </w:rPr>
                    <w:t>、综合办公室、</w:t>
                  </w:r>
                  <w:r>
                    <w:rPr>
                      <w:rFonts w:hint="eastAsia"/>
                      <w:lang w:eastAsia="zh-CN"/>
                    </w:rPr>
                    <w:t>质量技术部</w:t>
                  </w:r>
                  <w:r>
                    <w:rPr>
                      <w:rFonts w:hint="eastAsia"/>
                    </w:rPr>
                    <w:t>门做好施工计划的安排，保证计划的执行。</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rPr>
                      <w:rFonts w:hint="eastAsia"/>
                    </w:rPr>
                  </w:pPr>
                  <w:r>
                    <w:rPr>
                      <w:rFonts w:hint="eastAsia"/>
                      <w:b/>
                    </w:rPr>
                    <w:t>风险：</w:t>
                  </w:r>
                  <w:r>
                    <w:rPr>
                      <w:rFonts w:hint="eastAsia"/>
                    </w:rPr>
                    <w:t>监管部门监管力度的加大，如公司执行不规范，可能存在被查处的风险</w:t>
                  </w:r>
                </w:p>
                <w:p>
                  <w:pPr>
                    <w:shd w:val="clear" w:color="auto" w:fill="C7DAF1" w:themeFill="text2" w:themeFillTint="32"/>
                  </w:pPr>
                  <w:r>
                    <w:rPr>
                      <w:rFonts w:hint="eastAsia"/>
                      <w:b/>
                    </w:rPr>
                    <w:t>机遇：</w:t>
                  </w:r>
                  <w:r>
                    <w:rPr>
                      <w:rFonts w:hint="eastAsia"/>
                    </w:rPr>
                    <w:t>行业环境的变化，给公司带来新的发展机遇</w:t>
                  </w:r>
                </w:p>
              </w:tc>
              <w:tc>
                <w:tcPr>
                  <w:tcW w:w="3965" w:type="dxa"/>
                </w:tcPr>
                <w:p>
                  <w:pPr>
                    <w:numPr>
                      <w:ilvl w:val="0"/>
                      <w:numId w:val="3"/>
                    </w:numPr>
                    <w:shd w:val="clear" w:color="auto" w:fill="C7DAF1" w:themeFill="text2" w:themeFillTint="32"/>
                    <w:rPr>
                      <w:rFonts w:hint="eastAsia"/>
                    </w:rPr>
                  </w:pPr>
                  <w:r>
                    <w:rPr>
                      <w:rFonts w:hint="eastAsia"/>
                    </w:rPr>
                    <w:t>各级部门严格按照公司的规章制度开展相关工作。</w:t>
                  </w:r>
                </w:p>
                <w:p>
                  <w:pPr>
                    <w:pStyle w:val="18"/>
                    <w:numPr>
                      <w:ilvl w:val="0"/>
                      <w:numId w:val="3"/>
                    </w:numPr>
                  </w:pPr>
                  <w:r>
                    <w:rPr>
                      <w:rFonts w:hint="eastAsia"/>
                    </w:rPr>
                    <w:t>职能部门加大公司内部制度执行情况的检查。</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both"/>
                    <w:rPr>
                      <w:rFonts w:ascii="Times New Roman" w:hAnsi="Times New Roman" w:eastAsia="宋体" w:cs="Times New Roman"/>
                      <w:kern w:val="2"/>
                      <w:sz w:val="18"/>
                      <w:szCs w:val="24"/>
                      <w:lang w:val="en-US" w:eastAsia="zh-CN" w:bidi="ar-SA"/>
                    </w:rPr>
                  </w:pPr>
                  <w:r>
                    <w:rPr>
                      <w:rFonts w:hint="eastAsia"/>
                      <w:sz w:val="18"/>
                      <w:lang w:val="en-US" w:eastAsia="zh-CN"/>
                    </w:rPr>
                    <w:t>1、</w:t>
                  </w:r>
                  <w:r>
                    <w:rPr>
                      <w:rFonts w:hint="eastAsia"/>
                      <w:sz w:val="18"/>
                    </w:rPr>
                    <w:t>顾客满意度</w:t>
                  </w:r>
                  <w:r>
                    <w:rPr>
                      <w:sz w:val="18"/>
                    </w:rPr>
                    <w:t>≥</w:t>
                  </w:r>
                  <w:r>
                    <w:rPr>
                      <w:rFonts w:hint="eastAsia"/>
                      <w:sz w:val="18"/>
                    </w:rPr>
                    <w:t>95分</w:t>
                  </w:r>
                </w:p>
              </w:tc>
              <w:tc>
                <w:tcPr>
                  <w:tcW w:w="3136" w:type="dxa"/>
                  <w:shd w:val="clear" w:color="auto" w:fill="auto"/>
                  <w:vAlign w:val="center"/>
                </w:tcPr>
                <w:p>
                  <w:pPr>
                    <w:adjustRightInd w:val="0"/>
                    <w:snapToGrid w:val="0"/>
                    <w:spacing w:line="500" w:lineRule="exact"/>
                    <w:jc w:val="center"/>
                    <w:rPr>
                      <w:rFonts w:ascii="Times New Roman" w:hAnsi="Times New Roman" w:eastAsia="宋体" w:cs="Times New Roman"/>
                      <w:kern w:val="2"/>
                      <w:sz w:val="18"/>
                      <w:szCs w:val="24"/>
                      <w:lang w:val="en-GB" w:eastAsia="zh-CN" w:bidi="ar-SA"/>
                    </w:rPr>
                  </w:pPr>
                  <w:r>
                    <w:rPr>
                      <w:rFonts w:hint="eastAsia" w:hAnsi="仿宋" w:eastAsia="仿宋"/>
                      <w:sz w:val="24"/>
                    </w:rPr>
                    <w:t>顾客调查表满意数/顾客调查表总数*100%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销售管理部</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eastAsia="宋体" w:cs="Times New Roman"/>
                      <w:kern w:val="2"/>
                      <w:sz w:val="21"/>
                      <w:szCs w:val="24"/>
                      <w:lang w:val="en-GB" w:eastAsia="zh-CN" w:bidi="ar-SA"/>
                    </w:rPr>
                  </w:pPr>
                  <w:r>
                    <w:rPr>
                      <w:rFonts w:hint="eastAsia" w:hAnsi="仿宋" w:eastAsia="仿宋"/>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0"/>
                    </w:numPr>
                    <w:adjustRightInd w:val="0"/>
                    <w:snapToGrid w:val="0"/>
                    <w:spacing w:line="500" w:lineRule="exact"/>
                    <w:ind w:leftChars="0"/>
                    <w:jc w:val="both"/>
                    <w:rPr>
                      <w:rFonts w:ascii="Times New Roman" w:hAnsi="Times New Roman" w:eastAsia="宋体" w:cs="Times New Roman"/>
                      <w:kern w:val="2"/>
                      <w:sz w:val="18"/>
                      <w:szCs w:val="24"/>
                      <w:lang w:val="en-US" w:eastAsia="zh-CN" w:bidi="ar-SA"/>
                    </w:rPr>
                  </w:pPr>
                  <w:r>
                    <w:rPr>
                      <w:rFonts w:hint="eastAsia"/>
                      <w:sz w:val="18"/>
                      <w:lang w:val="en-US" w:eastAsia="zh-CN"/>
                    </w:rPr>
                    <w:t>2、</w:t>
                  </w:r>
                  <w:r>
                    <w:rPr>
                      <w:rFonts w:hint="eastAsia" w:hAnsi="仿宋" w:eastAsia="仿宋"/>
                      <w:sz w:val="24"/>
                    </w:rPr>
                    <w:t>标准规范使用准确率100%</w:t>
                  </w:r>
                </w:p>
              </w:tc>
              <w:tc>
                <w:tcPr>
                  <w:tcW w:w="3136"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标准规范使用合格数/标准总数*100%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 w:val="21"/>
                      <w:szCs w:val="21"/>
                    </w:rPr>
                    <w:t>专业计量室</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3"/>
                    </w:numPr>
                    <w:adjustRightInd w:val="0"/>
                    <w:snapToGrid w:val="0"/>
                    <w:spacing w:line="500" w:lineRule="exact"/>
                    <w:ind w:left="0" w:leftChars="0" w:firstLine="0" w:firstLineChars="0"/>
                    <w:jc w:val="both"/>
                    <w:rPr>
                      <w:rFonts w:ascii="Times New Roman" w:hAnsi="Times New Roman" w:eastAsia="宋体" w:cs="Times New Roman"/>
                      <w:kern w:val="2"/>
                      <w:sz w:val="18"/>
                      <w:szCs w:val="24"/>
                      <w:lang w:val="en-US" w:eastAsia="zh-CN" w:bidi="ar-SA"/>
                    </w:rPr>
                  </w:pPr>
                  <w:r>
                    <w:rPr>
                      <w:rFonts w:hint="eastAsia" w:hAnsi="仿宋" w:eastAsia="仿宋"/>
                      <w:sz w:val="24"/>
                    </w:rPr>
                    <w:t>标准规范使用准确率100%</w:t>
                  </w:r>
                </w:p>
              </w:tc>
              <w:tc>
                <w:tcPr>
                  <w:tcW w:w="3136"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lang w:val="en-US" w:eastAsia="zh-CN"/>
                    </w:rPr>
                    <w:t>操作准确</w:t>
                  </w:r>
                  <w:r>
                    <w:rPr>
                      <w:rFonts w:hint="eastAsia" w:hAnsi="仿宋" w:eastAsia="仿宋"/>
                      <w:sz w:val="24"/>
                    </w:rPr>
                    <w:t>合格数/</w:t>
                  </w:r>
                  <w:r>
                    <w:rPr>
                      <w:rFonts w:hint="eastAsia" w:hAnsi="仿宋" w:eastAsia="仿宋"/>
                      <w:sz w:val="24"/>
                      <w:lang w:val="en-US" w:eastAsia="zh-CN"/>
                    </w:rPr>
                    <w:t>设备</w:t>
                  </w:r>
                  <w:r>
                    <w:rPr>
                      <w:rFonts w:hint="eastAsia" w:hAnsi="仿宋" w:eastAsia="仿宋"/>
                      <w:sz w:val="24"/>
                    </w:rPr>
                    <w:t>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sz w:val="21"/>
                      <w:szCs w:val="21"/>
                    </w:rPr>
                    <w:t>专业计量室</w:t>
                  </w:r>
                </w:p>
              </w:tc>
              <w:tc>
                <w:tcPr>
                  <w:tcW w:w="1774"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3"/>
                    </w:numPr>
                    <w:spacing w:line="240" w:lineRule="auto"/>
                    <w:ind w:left="0" w:leftChars="0"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校准/检测/检定人员持证上岗率100%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人员持证</w:t>
                  </w:r>
                  <w:r>
                    <w:rPr>
                      <w:rFonts w:hint="eastAsia" w:hAnsi="仿宋" w:eastAsia="仿宋"/>
                      <w:sz w:val="24"/>
                    </w:rPr>
                    <w:t>合格数/</w:t>
                  </w:r>
                  <w:r>
                    <w:rPr>
                      <w:rFonts w:hint="eastAsia" w:hAnsi="仿宋" w:eastAsia="仿宋"/>
                      <w:sz w:val="24"/>
                      <w:lang w:val="en-US" w:eastAsia="zh-CN"/>
                    </w:rPr>
                    <w:t>人员</w:t>
                  </w:r>
                  <w:r>
                    <w:rPr>
                      <w:rFonts w:hint="eastAsia" w:hAnsi="仿宋" w:eastAsia="仿宋"/>
                      <w:sz w:val="24"/>
                    </w:rPr>
                    <w:t>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 w:val="21"/>
                      <w:szCs w:val="21"/>
                    </w:rPr>
                    <w:t>专业计量室</w:t>
                  </w:r>
                </w:p>
              </w:tc>
              <w:tc>
                <w:tcPr>
                  <w:tcW w:w="1774"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3"/>
                    </w:numPr>
                    <w:spacing w:line="240" w:lineRule="auto"/>
                    <w:ind w:left="0" w:leftChars="0"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证书/报告差错率&lt;5‰</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报告差错</w:t>
                  </w:r>
                  <w:r>
                    <w:rPr>
                      <w:rFonts w:hint="eastAsia" w:hAnsi="仿宋" w:eastAsia="仿宋"/>
                      <w:sz w:val="24"/>
                    </w:rPr>
                    <w:t>数/</w:t>
                  </w:r>
                  <w:r>
                    <w:rPr>
                      <w:rFonts w:hint="eastAsia" w:hAnsi="仿宋" w:eastAsia="仿宋"/>
                      <w:sz w:val="24"/>
                      <w:lang w:val="en-US" w:eastAsia="zh-CN"/>
                    </w:rPr>
                    <w:t>报告</w:t>
                  </w:r>
                  <w:r>
                    <w:rPr>
                      <w:rFonts w:hint="eastAsia" w:hAnsi="仿宋" w:eastAsia="仿宋"/>
                      <w:sz w:val="24"/>
                    </w:rPr>
                    <w:t>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 w:val="21"/>
                      <w:szCs w:val="21"/>
                    </w:rPr>
                    <w:t>专业计量室</w:t>
                  </w:r>
                </w:p>
              </w:tc>
              <w:tc>
                <w:tcPr>
                  <w:tcW w:w="1774"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3"/>
                    </w:numPr>
                    <w:spacing w:line="240" w:lineRule="auto"/>
                    <w:ind w:left="0" w:leftChars="0"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客户投诉/申诉处理率100%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客户投诉处理</w:t>
                  </w:r>
                  <w:r>
                    <w:rPr>
                      <w:rFonts w:hint="eastAsia" w:hAnsi="仿宋" w:eastAsia="仿宋"/>
                      <w:sz w:val="24"/>
                    </w:rPr>
                    <w:t>合格数/</w:t>
                  </w:r>
                  <w:r>
                    <w:rPr>
                      <w:rFonts w:hint="eastAsia" w:hAnsi="仿宋" w:eastAsia="仿宋"/>
                      <w:sz w:val="24"/>
                      <w:lang w:val="en-US" w:eastAsia="zh-CN"/>
                    </w:rPr>
                    <w:t>客户投诉</w:t>
                  </w:r>
                  <w:r>
                    <w:rPr>
                      <w:rFonts w:hint="eastAsia" w:hAnsi="仿宋" w:eastAsia="仿宋"/>
                      <w:sz w:val="24"/>
                    </w:rPr>
                    <w:t>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 w:val="21"/>
                      <w:szCs w:val="21"/>
                    </w:rPr>
                    <w:t>质量技术部</w:t>
                  </w:r>
                </w:p>
              </w:tc>
              <w:tc>
                <w:tcPr>
                  <w:tcW w:w="1774"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3"/>
                    </w:numPr>
                    <w:spacing w:line="240" w:lineRule="auto"/>
                    <w:ind w:left="0" w:leftChars="0"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产品设计按计划完成率100%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产品设计按计划完成</w:t>
                  </w:r>
                  <w:r>
                    <w:rPr>
                      <w:rFonts w:hint="eastAsia" w:hAnsi="仿宋" w:eastAsia="仿宋"/>
                      <w:sz w:val="24"/>
                    </w:rPr>
                    <w:t>数/</w:t>
                  </w:r>
                  <w:r>
                    <w:rPr>
                      <w:rFonts w:hint="eastAsia" w:hAnsi="仿宋" w:eastAsia="仿宋"/>
                      <w:sz w:val="24"/>
                      <w:lang w:val="en-US" w:eastAsia="zh-CN"/>
                    </w:rPr>
                    <w:t>产品设计</w:t>
                  </w:r>
                  <w:r>
                    <w:rPr>
                      <w:rFonts w:hint="eastAsia" w:hAnsi="仿宋" w:eastAsia="仿宋"/>
                      <w:sz w:val="24"/>
                    </w:rPr>
                    <w:t>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 w:val="21"/>
                      <w:szCs w:val="21"/>
                    </w:rPr>
                    <w:t>质量技术部</w:t>
                  </w:r>
                </w:p>
              </w:tc>
              <w:tc>
                <w:tcPr>
                  <w:tcW w:w="1774" w:type="dxa"/>
                  <w:shd w:val="clear" w:color="auto" w:fill="auto"/>
                  <w:vAlign w:val="center"/>
                </w:tcPr>
                <w:p>
                  <w:pPr>
                    <w:spacing w:line="240" w:lineRule="auto"/>
                    <w:jc w:val="both"/>
                    <w:rPr>
                      <w:rFonts w:ascii="Times New Roman" w:hAnsi="Times New Roman" w:eastAsia="宋体" w:cs="Times New Roman"/>
                      <w:kern w:val="2"/>
                      <w:sz w:val="18"/>
                      <w:szCs w:val="24"/>
                      <w:lang w:val="en-US" w:eastAsia="zh-CN" w:bidi="ar-SA"/>
                    </w:rPr>
                  </w:pPr>
                  <w:r>
                    <w:rPr>
                      <w:rFonts w:hint="eastAsia" w:hAnsi="仿宋" w:eastAsia="仿宋"/>
                      <w:sz w:val="24"/>
                    </w:rPr>
                    <w:t>100%</w:t>
                  </w: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510平方米左右</w:t>
            </w:r>
            <w:r>
              <w:rPr>
                <w:rFonts w:hint="eastAsia"/>
              </w:rPr>
              <w:t>；生产车间个；库房</w:t>
            </w:r>
            <w:r>
              <w:rPr>
                <w:rFonts w:hint="eastAsia"/>
                <w:lang w:val="en-US" w:eastAsia="zh-CN"/>
              </w:rPr>
              <w:t>1</w:t>
            </w:r>
            <w:r>
              <w:rPr>
                <w:rFonts w:hint="eastAsia"/>
              </w:rPr>
              <w:t>个；实验室</w:t>
            </w:r>
            <w:r>
              <w:rPr>
                <w:rFonts w:hint="eastAsia"/>
                <w:lang w:val="en-US" w:eastAsia="zh-CN"/>
              </w:rPr>
              <w:t>7</w:t>
            </w:r>
            <w:r>
              <w:rPr>
                <w:rFonts w:hint="eastAsia"/>
              </w:rPr>
              <w:t>个；</w:t>
            </w:r>
          </w:p>
          <w:p>
            <w:pPr>
              <w:shd w:val="clear" w:color="auto" w:fill="C7DAF1" w:themeFill="text2" w:themeFillTint="32"/>
              <w:rPr>
                <w:u w:val="single"/>
              </w:rPr>
            </w:pPr>
            <w:r>
              <w:rPr>
                <w:rFonts w:hint="eastAsia"/>
              </w:rPr>
              <w:t>主要生产设备有：</w:t>
            </w:r>
            <w:r>
              <w:rPr>
                <w:rFonts w:hint="eastAsia"/>
                <w:u w:val="single"/>
              </w:rPr>
              <w:t>（</w:t>
            </w:r>
            <w:r>
              <w:rPr>
                <w:rFonts w:hint="eastAsia"/>
                <w:u w:val="single"/>
                <w:lang w:val="en-US" w:eastAsia="zh-CN"/>
              </w:rPr>
              <w:t>测长仪、万能工具显微镜、二等标准量块、0级平板、智能化热工仪表检定系统、恒温油槽、制冷恒温槽、温湿度检定箱、标准铂电阻温度计、标准热电偶、多功能校验仪</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钢直尺、活塞式压力计、塞尺、数字多用表</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审核期间内设计和开发新产品/项目名称：计量检测范围误差控制系统V1.0</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sz w:val="20"/>
                    </w:rPr>
                    <w:t>智能设备、工业设备、机电产品、电子产品、仪器仪表的计量检测、销售；计量仪器仪表的维修及技术服务；产业计量、环保节能技术软件的研发</w:t>
                  </w:r>
                </w:p>
              </w:tc>
              <w:tc>
                <w:tcPr>
                  <w:tcW w:w="3665" w:type="dxa"/>
                </w:tcPr>
                <w:p>
                  <w:pPr>
                    <w:shd w:val="clear" w:color="auto" w:fill="C7DAF1" w:themeFill="text2" w:themeFillTint="32"/>
                    <w:jc w:val="left"/>
                  </w:pPr>
                  <w:r>
                    <w:rPr>
                      <w:rFonts w:hint="eastAsia" w:ascii="宋体" w:hAnsi="宋体" w:eastAsia="宋体" w:cs="宋体"/>
                      <w:color w:val="000000"/>
                      <w:kern w:val="0"/>
                      <w:sz w:val="21"/>
                      <w:szCs w:val="21"/>
                      <w:lang w:val="en-US" w:eastAsia="zh-CN" w:bidi="ar"/>
                    </w:rPr>
                    <w:t>计量检定/校准过程</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eastAsia="宋体" w:cs="宋体"/>
                      <w:color w:val="000000"/>
                      <w:kern w:val="0"/>
                      <w:sz w:val="21"/>
                      <w:szCs w:val="21"/>
                      <w:lang w:val="en-US" w:eastAsia="zh-CN" w:bidi="ar"/>
                    </w:rPr>
                    <w:t>需严格按照国家检定规程和校准规范执行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sym w:font="Wingdings 2" w:char="00A3"/>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sym w:font="Wingdings 2" w:char="0052"/>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2021.4.26-27</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2021.6.10</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A3"/>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8"/>
              <w:spacing w:line="400" w:lineRule="exact"/>
              <w:ind w:firstLine="105" w:firstLineChars="50"/>
              <w:rPr>
                <w:rFonts w:hint="eastAsia"/>
              </w:rPr>
            </w:pPr>
            <w:r>
              <w:rPr>
                <w:rFonts w:hint="eastAsia"/>
              </w:rPr>
              <w:t>最高管理者制定了文件化的管理体系方针：</w:t>
            </w:r>
          </w:p>
          <w:p>
            <w:pPr>
              <w:shd w:val="clear" w:color="auto" w:fill="EBF1DE" w:themeFill="accent3" w:themeFillTint="32"/>
              <w:rPr>
                <w:rFonts w:hint="eastAsia" w:ascii="宋体" w:hAnsi="宋体"/>
                <w:b/>
                <w:color w:val="auto"/>
                <w:sz w:val="24"/>
                <w:szCs w:val="24"/>
              </w:rPr>
            </w:pPr>
            <w:r>
              <w:rPr>
                <w:rFonts w:hint="eastAsia" w:ascii="宋体" w:hAnsi="宋体"/>
                <w:b/>
                <w:color w:val="auto"/>
                <w:sz w:val="24"/>
                <w:szCs w:val="24"/>
                <w:lang w:eastAsia="zh-CN"/>
              </w:rPr>
              <w:t>预防污染、</w:t>
            </w:r>
            <w:r>
              <w:rPr>
                <w:rFonts w:hint="eastAsia" w:ascii="宋体" w:hAnsi="宋体"/>
                <w:b/>
                <w:color w:val="auto"/>
                <w:sz w:val="24"/>
                <w:szCs w:val="24"/>
                <w:lang w:val="en-US" w:eastAsia="zh-CN"/>
              </w:rPr>
              <w:t>节能环保；绿色高效</w:t>
            </w:r>
            <w:r>
              <w:rPr>
                <w:rFonts w:hint="eastAsia" w:ascii="宋体" w:hAnsi="宋体"/>
                <w:b/>
                <w:color w:val="auto"/>
                <w:sz w:val="24"/>
                <w:szCs w:val="24"/>
              </w:rPr>
              <w:t>；持续发展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行业标准的变化</w:t>
                  </w:r>
                </w:p>
              </w:tc>
              <w:tc>
                <w:tcPr>
                  <w:tcW w:w="3965" w:type="dxa"/>
                </w:tcPr>
                <w:p>
                  <w:pPr>
                    <w:shd w:val="clear" w:color="auto" w:fill="EBF1DE" w:themeFill="accent3" w:themeFillTint="32"/>
                    <w:rPr>
                      <w:rFonts w:hint="eastAsia" w:eastAsia="宋体"/>
                      <w:lang w:eastAsia="zh-CN"/>
                    </w:rPr>
                  </w:pPr>
                  <w:r>
                    <w:rPr>
                      <w:rFonts w:hint="eastAsia"/>
                    </w:rPr>
                    <w:t>1.主要职能部门按照要求加强法律法规的收集评价</w:t>
                  </w:r>
                  <w:r>
                    <w:rPr>
                      <w:rFonts w:hint="eastAsia"/>
                      <w:lang w:eastAsia="zh-CN"/>
                    </w:rPr>
                    <w:t>；</w:t>
                  </w:r>
                  <w:r>
                    <w:rPr>
                      <w:rFonts w:hint="eastAsia"/>
                    </w:rPr>
                    <w:t>综合办公室加大市场开拓</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目前公司管理流程基本覆盖了公司日常工作，但是流程执行力如果得不到保证，会对公司运行带来一定的风险。</w:t>
                  </w:r>
                </w:p>
                <w:p>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pPr>
                    <w:rPr>
                      <w:rFonts w:hint="eastAsia"/>
                    </w:rPr>
                  </w:pPr>
                  <w:r>
                    <w:rPr>
                      <w:rFonts w:hint="eastAsia"/>
                    </w:rPr>
                    <w:t>1.各级部门必须严格按照流程开展日常工作，对出现的不符合情况及时调整文件，保持流程的可操作性；</w:t>
                  </w:r>
                </w:p>
                <w:p>
                  <w:pPr>
                    <w:shd w:val="clear" w:color="auto" w:fill="EBF1DE" w:themeFill="accent3" w:themeFillTint="32"/>
                  </w:pPr>
                  <w:r>
                    <w:rPr>
                      <w:rFonts w:hint="eastAsia"/>
                    </w:rPr>
                    <w:t>2.公司组织定期组织进行流程的评审。</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rPr>
              <w:sym w:font="Wingdings 2" w:char="0052"/>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1）</w:t>
                  </w:r>
                  <w:r>
                    <w:rPr>
                      <w:rFonts w:hint="eastAsia" w:ascii="Calibri" w:hAnsi="仿宋" w:eastAsia="仿宋" w:cs="Times New Roman"/>
                      <w:sz w:val="24"/>
                    </w:rPr>
                    <w:t>杜绝火灾爆炸事故。</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GB" w:eastAsia="zh-CN" w:bidi="ar-SA"/>
                    </w:rPr>
                  </w:pPr>
                  <w:r>
                    <w:rPr>
                      <w:rFonts w:hint="eastAsia" w:hAnsi="仿宋" w:eastAsia="仿宋"/>
                      <w:sz w:val="24"/>
                    </w:rPr>
                    <w:t>实际</w:t>
                  </w:r>
                  <w:r>
                    <w:rPr>
                      <w:rFonts w:hint="eastAsia" w:hAnsi="仿宋" w:eastAsia="仿宋"/>
                      <w:sz w:val="24"/>
                      <w:lang w:val="en-US" w:eastAsia="zh-CN"/>
                    </w:rPr>
                    <w:t>统计</w:t>
                  </w:r>
                </w:p>
              </w:tc>
              <w:tc>
                <w:tcPr>
                  <w:tcW w:w="1350" w:type="dxa"/>
                  <w:shd w:val="clear" w:color="auto" w:fill="auto"/>
                  <w:vAlign w:val="center"/>
                </w:tcPr>
                <w:p>
                  <w:pPr>
                    <w:shd w:val="clear" w:color="auto" w:fill="EBF1DE" w:themeFill="accent3" w:themeFillTint="32"/>
                    <w:rPr>
                      <w:rFonts w:hint="default" w:ascii="Times New Roman" w:hAnsi="Times New Roman" w:cs="Times New Roman"/>
                      <w:lang w:val="en-GB" w:eastAsia="zh-CN"/>
                    </w:rPr>
                  </w:pPr>
                  <w:r>
                    <w:rPr>
                      <w:rFonts w:hint="eastAsia" w:ascii="Times New Roman" w:hAnsi="Times New Roman" w:cs="Times New Roman"/>
                      <w:lang w:val="en-US" w:eastAsia="zh-CN"/>
                    </w:rPr>
                    <w:t>各部门</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eastAsia" w:ascii="Times New Roman" w:hAnsi="仿宋" w:eastAsia="仿宋" w:cs="Times New Roman"/>
                      <w:kern w:val="2"/>
                      <w:sz w:val="24"/>
                      <w:szCs w:val="24"/>
                      <w:lang w:val="en-GB" w:eastAsia="zh-CN" w:bidi="ar-SA"/>
                    </w:rPr>
                  </w:pPr>
                  <w:r>
                    <w:rPr>
                      <w:rFonts w:hint="eastAsia" w:hAnsi="仿宋" w:eastAsia="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0"/>
                    </w:numPr>
                    <w:spacing w:line="240" w:lineRule="auto"/>
                    <w:ind w:left="0" w:leftChars="0"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2）</w:t>
                  </w:r>
                  <w:r>
                    <w:rPr>
                      <w:rFonts w:hint="eastAsia" w:hAnsi="仿宋" w:eastAsia="仿宋"/>
                      <w:sz w:val="24"/>
                    </w:rPr>
                    <w:t>避免有害废弃物违规排放，按规定对其分类处理率100%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固废合理分类数/固废总数*100%</w:t>
                  </w:r>
                </w:p>
              </w:tc>
              <w:tc>
                <w:tcPr>
                  <w:tcW w:w="1350" w:type="dxa"/>
                  <w:shd w:val="clear" w:color="auto" w:fill="auto"/>
                  <w:vAlign w:val="center"/>
                </w:tcPr>
                <w:p>
                  <w:pPr>
                    <w:shd w:val="clear" w:color="auto" w:fill="EBF1DE" w:themeFill="accent3" w:themeFillTint="32"/>
                    <w:rPr>
                      <w:rFonts w:ascii="Times New Roman" w:hAnsi="Times New Roman" w:cs="Times New Roman"/>
                      <w:lang w:val="en-US" w:eastAsia="zh-CN"/>
                    </w:rPr>
                  </w:pPr>
                  <w:r>
                    <w:rPr>
                      <w:rFonts w:hint="eastAsia" w:ascii="Times New Roman" w:hAnsi="Times New Roman" w:cs="Times New Roman"/>
                      <w:lang w:val="en-US" w:eastAsia="zh-CN"/>
                    </w:rPr>
                    <w:t>综合办公室</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9"/>
                    <w:spacing w:line="240" w:lineRule="auto"/>
                    <w:ind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szCs w:val="24"/>
                    </w:rPr>
                    <w:t>3）适用环境法规和其他要求符合率100%；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szCs w:val="24"/>
                    </w:rPr>
                    <w:t>环境法规符合</w:t>
                  </w:r>
                  <w:r>
                    <w:rPr>
                      <w:rFonts w:hint="eastAsia" w:hAnsi="仿宋" w:eastAsia="仿宋"/>
                      <w:sz w:val="24"/>
                    </w:rPr>
                    <w:t>数/</w:t>
                  </w:r>
                  <w:r>
                    <w:rPr>
                      <w:rFonts w:hint="eastAsia" w:hAnsi="仿宋" w:eastAsia="仿宋"/>
                      <w:sz w:val="24"/>
                      <w:szCs w:val="24"/>
                    </w:rPr>
                    <w:t>环境法规</w:t>
                  </w:r>
                  <w:r>
                    <w:rPr>
                      <w:rFonts w:hint="eastAsia" w:hAnsi="仿宋" w:eastAsia="仿宋"/>
                      <w:sz w:val="24"/>
                    </w:rPr>
                    <w:t>总数*100%</w:t>
                  </w:r>
                </w:p>
              </w:tc>
              <w:tc>
                <w:tcPr>
                  <w:tcW w:w="1350" w:type="dxa"/>
                  <w:shd w:val="clear" w:color="auto" w:fill="auto"/>
                  <w:vAlign w:val="center"/>
                </w:tcPr>
                <w:p>
                  <w:pPr>
                    <w:shd w:val="clear" w:color="auto" w:fill="EBF1DE" w:themeFill="accent3" w:themeFillTint="32"/>
                    <w:rPr>
                      <w:rFonts w:ascii="Times New Roman" w:hAnsi="Times New Roman" w:cs="Times New Roman"/>
                      <w:lang w:val="en-US" w:eastAsia="zh-CN"/>
                    </w:rPr>
                  </w:pPr>
                  <w:r>
                    <w:rPr>
                      <w:rFonts w:hint="eastAsia" w:ascii="Times New Roman" w:hAnsi="Times New Roman" w:cs="Times New Roman"/>
                      <w:lang w:val="en-US" w:eastAsia="zh-CN"/>
                    </w:rPr>
                    <w:t>综合办公室</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9"/>
                    <w:spacing w:line="240" w:lineRule="auto"/>
                    <w:ind w:firstLine="0" w:firstLineChars="0"/>
                    <w:jc w:val="both"/>
                    <w:rPr>
                      <w:rFonts w:hint="eastAsia" w:ascii="Times New Roman" w:hAnsi="仿宋" w:eastAsia="仿宋" w:cs="Times New Roman"/>
                      <w:kern w:val="2"/>
                      <w:sz w:val="24"/>
                      <w:szCs w:val="24"/>
                      <w:lang w:val="en-US" w:eastAsia="zh-CN" w:bidi="ar-SA"/>
                    </w:rPr>
                  </w:pPr>
                  <w:r>
                    <w:rPr>
                      <w:rFonts w:hint="eastAsia" w:hAnsi="仿宋" w:eastAsia="仿宋"/>
                      <w:sz w:val="24"/>
                      <w:szCs w:val="24"/>
                    </w:rPr>
                    <w:t>4）确保相关方在环境方面零投诉</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实际测量</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cs="Times New Roman"/>
                      <w:lang w:val="en-US" w:eastAsia="zh-CN"/>
                    </w:rPr>
                    <w:t>综合办公室</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510平方米</w:t>
            </w:r>
            <w:r>
              <w:rPr>
                <w:rFonts w:hint="eastAsia"/>
              </w:rPr>
              <w:t>；生产车间个；库房个；实验室</w:t>
            </w:r>
            <w:r>
              <w:rPr>
                <w:rFonts w:hint="eastAsia"/>
                <w:lang w:val="en-US" w:eastAsia="zh-CN"/>
              </w:rPr>
              <w:t>7</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测长仪、万能工具显微镜、二等标准量块、0级平板、智能化热工仪表检定系统、恒温油槽、制冷恒温槽、温湿度检定箱、标准铂电阻温度计、标准热电偶、多功能校验仪</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灭火器、垃圾桶</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审核期间内，设计和开发新产品/项目名称：计量检测范围误差控制系统V1.0</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分类管理，废液交有资质公司处理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配备灭火器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2021.8.18日进行了消防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lang w:val="en-US" w:eastAsia="zh-CN"/>
              </w:rPr>
            </w:pPr>
            <w:r>
              <w:rPr>
                <w:rFonts w:hint="eastAsia" w:ascii="Wingdings" w:hAnsi="Wingdings"/>
              </w:rPr>
              <w:t>¨</w:t>
            </w:r>
            <w:r>
              <w:rPr>
                <w:rFonts w:hint="eastAsia"/>
              </w:rPr>
              <w:t>定期（每年）：</w:t>
            </w:r>
            <w:r>
              <w:rPr>
                <w:rFonts w:hint="eastAsia"/>
                <w:lang w:val="en-US" w:eastAsia="zh-CN"/>
              </w:rPr>
              <w:t>2021年10月30日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11-12</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最高管理者已按策划的时间间隔，在2021.6.10对组织的环境管理体系进行了评审，以确保其持续的适宜性、充分性和有效性；管理评审输入、输出均按要求提供。并对提出的改进措施进行了落实。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宋体" w:hAnsi="宋体"/>
                <w:b/>
                <w:color w:val="auto"/>
                <w:sz w:val="24"/>
                <w:szCs w:val="24"/>
                <w:lang w:val="en-US" w:eastAsia="zh-CN"/>
              </w:rPr>
            </w:pPr>
            <w:r>
              <w:rPr>
                <w:rFonts w:hint="eastAsia" w:ascii="宋体" w:hAnsi="宋体"/>
                <w:b/>
                <w:color w:val="auto"/>
                <w:sz w:val="24"/>
                <w:szCs w:val="24"/>
              </w:rPr>
              <w:t>安全第一，</w:t>
            </w:r>
            <w:r>
              <w:rPr>
                <w:rFonts w:hint="eastAsia" w:ascii="宋体" w:hAnsi="宋体" w:cs="宋体"/>
                <w:b/>
                <w:color w:val="auto"/>
                <w:kern w:val="0"/>
                <w:sz w:val="24"/>
                <w:szCs w:val="24"/>
              </w:rPr>
              <w:t>预防为主，</w:t>
            </w:r>
            <w:r>
              <w:rPr>
                <w:rFonts w:hint="eastAsia" w:ascii="宋体" w:hAnsi="宋体" w:cs="宋体"/>
                <w:b/>
                <w:color w:val="auto"/>
                <w:kern w:val="0"/>
                <w:sz w:val="24"/>
                <w:szCs w:val="24"/>
                <w:lang w:val="en-US" w:eastAsia="zh-CN"/>
              </w:rPr>
              <w:t>以人为本，健康</w:t>
            </w:r>
            <w:r>
              <w:rPr>
                <w:rFonts w:hint="eastAsia" w:ascii="宋体" w:hAnsi="宋体"/>
                <w:b/>
                <w:color w:val="auto"/>
                <w:sz w:val="24"/>
                <w:szCs w:val="24"/>
                <w:lang w:val="en-US" w:eastAsia="zh-CN"/>
              </w:rPr>
              <w:t>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综合办公室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席伟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安全用电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禁止乱接乱接、日常检查电源线是否老化</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操作现场禁止吸烟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安全用电</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1）杜绝火灾爆炸事故。</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GB" w:eastAsia="zh-CN" w:bidi="ar-SA"/>
                    </w:rPr>
                  </w:pPr>
                  <w:r>
                    <w:rPr>
                      <w:rFonts w:hint="eastAsia" w:hAnsi="仿宋" w:eastAsia="仿宋"/>
                      <w:sz w:val="24"/>
                    </w:rPr>
                    <w:t>实际测量</w:t>
                  </w:r>
                </w:p>
              </w:tc>
              <w:tc>
                <w:tcPr>
                  <w:tcW w:w="1350" w:type="dxa"/>
                  <w:shd w:val="clear" w:color="auto" w:fill="auto"/>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各部门</w:t>
                  </w:r>
                </w:p>
              </w:tc>
              <w:tc>
                <w:tcPr>
                  <w:tcW w:w="1774" w:type="dxa"/>
                  <w:shd w:val="clear" w:color="auto" w:fill="auto"/>
                  <w:vAlign w:val="center"/>
                </w:tcPr>
                <w:p>
                  <w:pPr>
                    <w:spacing w:line="240" w:lineRule="auto"/>
                    <w:jc w:val="both"/>
                    <w:rPr>
                      <w:rFonts w:hint="eastAsia" w:ascii="Times New Roman" w:hAnsi="仿宋" w:eastAsia="仿宋" w:cs="Times New Roman"/>
                      <w:kern w:val="2"/>
                      <w:sz w:val="24"/>
                      <w:szCs w:val="24"/>
                      <w:lang w:val="en-GB"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9"/>
                    <w:spacing w:line="240" w:lineRule="auto"/>
                    <w:ind w:firstLine="0" w:firstLineChars="0"/>
                    <w:jc w:val="both"/>
                    <w:rPr>
                      <w:rFonts w:hint="eastAsia" w:ascii="Times New Roman" w:hAnsi="仿宋" w:eastAsia="仿宋" w:cs="Times New Roman"/>
                      <w:kern w:val="2"/>
                      <w:sz w:val="24"/>
                      <w:szCs w:val="20"/>
                      <w:lang w:val="en-US" w:eastAsia="zh-CN" w:bidi="ar-SA"/>
                    </w:rPr>
                  </w:pPr>
                  <w:r>
                    <w:rPr>
                      <w:rFonts w:hint="eastAsia" w:hAnsi="仿宋" w:eastAsia="仿宋"/>
                      <w:sz w:val="24"/>
                      <w:szCs w:val="24"/>
                      <w:lang w:val="en-US" w:eastAsia="zh-CN"/>
                    </w:rPr>
                    <w:t>2</w:t>
                  </w:r>
                  <w:r>
                    <w:rPr>
                      <w:rFonts w:hint="eastAsia" w:hAnsi="仿宋" w:eastAsia="仿宋"/>
                      <w:sz w:val="24"/>
                      <w:szCs w:val="24"/>
                    </w:rPr>
                    <w:t>）年度轻伤事故发生率控制在2起以下；</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实际测量</w:t>
                  </w:r>
                </w:p>
              </w:tc>
              <w:tc>
                <w:tcPr>
                  <w:tcW w:w="1350" w:type="dxa"/>
                  <w:shd w:val="clear" w:color="auto" w:fill="auto"/>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各部门</w:t>
                  </w:r>
                </w:p>
              </w:tc>
              <w:tc>
                <w:tcPr>
                  <w:tcW w:w="1774"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lang w:val="en-US" w:eastAsia="zh-CN"/>
                    </w:rPr>
                    <w:t>3</w:t>
                  </w:r>
                  <w:r>
                    <w:rPr>
                      <w:rFonts w:hint="eastAsia" w:hAnsi="仿宋" w:eastAsia="仿宋"/>
                      <w:sz w:val="24"/>
                    </w:rPr>
                    <w:t>）职业健康安全法规和其他要求符合率100%</w:t>
                  </w:r>
                </w:p>
              </w:tc>
              <w:tc>
                <w:tcPr>
                  <w:tcW w:w="3136" w:type="dxa"/>
                  <w:shd w:val="clear" w:color="auto" w:fill="auto"/>
                  <w:vAlign w:val="center"/>
                </w:tcPr>
                <w:p>
                  <w:pPr>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szCs w:val="24"/>
                    </w:rPr>
                    <w:t>环境法规符合</w:t>
                  </w:r>
                  <w:r>
                    <w:rPr>
                      <w:rFonts w:hint="eastAsia" w:hAnsi="仿宋" w:eastAsia="仿宋"/>
                      <w:sz w:val="24"/>
                    </w:rPr>
                    <w:t>数/</w:t>
                  </w:r>
                  <w:r>
                    <w:rPr>
                      <w:rFonts w:hint="eastAsia" w:hAnsi="仿宋" w:eastAsia="仿宋"/>
                      <w:sz w:val="24"/>
                      <w:szCs w:val="24"/>
                    </w:rPr>
                    <w:t>环境法规</w:t>
                  </w:r>
                  <w:r>
                    <w:rPr>
                      <w:rFonts w:hint="eastAsia" w:hAnsi="仿宋" w:eastAsia="仿宋"/>
                      <w:sz w:val="24"/>
                    </w:rPr>
                    <w:t>总数*100%</w:t>
                  </w:r>
                </w:p>
              </w:tc>
              <w:tc>
                <w:tcPr>
                  <w:tcW w:w="1350" w:type="dxa"/>
                  <w:shd w:val="clear" w:color="auto" w:fill="auto"/>
                  <w:vAlign w:val="center"/>
                </w:tcPr>
                <w:p>
                  <w:pPr>
                    <w:rPr>
                      <w:rFonts w:ascii="宋体" w:hAnsi="宋体"/>
                    </w:rPr>
                  </w:pPr>
                  <w:r>
                    <w:rPr>
                      <w:rFonts w:hint="eastAsia" w:ascii="Times New Roman" w:hAnsi="Times New Roman" w:cs="Times New Roman"/>
                      <w:lang w:val="en-US" w:eastAsia="zh-CN"/>
                    </w:rPr>
                    <w:t>综合办公室</w:t>
                  </w:r>
                </w:p>
              </w:tc>
              <w:tc>
                <w:tcPr>
                  <w:tcW w:w="1774"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eastAsia" w:ascii="Times New Roman" w:hAnsi="仿宋" w:eastAsia="仿宋" w:cs="Times New Roman"/>
                      <w:kern w:val="2"/>
                      <w:sz w:val="24"/>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510平方米</w:t>
            </w:r>
            <w:r>
              <w:rPr>
                <w:rFonts w:hint="eastAsia"/>
              </w:rPr>
              <w:t>；生产车间个；库房个；实验室</w:t>
            </w:r>
            <w:r>
              <w:rPr>
                <w:rFonts w:hint="eastAsia"/>
                <w:lang w:val="en-US" w:eastAsia="zh-CN"/>
              </w:rPr>
              <w:t>7</w:t>
            </w:r>
            <w:r>
              <w:rPr>
                <w:rFonts w:hint="eastAsia"/>
              </w:rPr>
              <w:t>个；</w:t>
            </w:r>
          </w:p>
          <w:p>
            <w:pPr>
              <w:rPr>
                <w:u w:val="single"/>
              </w:rPr>
            </w:pPr>
            <w:r>
              <w:rPr>
                <w:rFonts w:hint="eastAsia"/>
              </w:rPr>
              <w:t>主要生产设备有：</w:t>
            </w:r>
            <w:r>
              <w:rPr>
                <w:rFonts w:hint="eastAsia"/>
                <w:u w:val="single"/>
              </w:rPr>
              <w:t>（</w:t>
            </w:r>
            <w:r>
              <w:rPr>
                <w:rFonts w:hint="eastAsia"/>
                <w:u w:val="single"/>
                <w:lang w:val="en-US" w:eastAsia="zh-CN"/>
              </w:rPr>
              <w:t>测长仪、万能工具显微镜、二等标准量块、0级平板、智能化热工仪表检定系统、恒温油槽、制冷恒温槽、温湿度检定箱、标准铂电阻温度计、标准热电偶、多功能校验仪</w:t>
            </w:r>
            <w:r>
              <w:rPr>
                <w:rFonts w:hint="eastAsia"/>
                <w:u w:val="single"/>
              </w:rPr>
              <w:t>）</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sym w:font="Wingdings 2" w:char="0052"/>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rPr>
            </w:pPr>
            <w:r>
              <w:rPr>
                <w:rFonts w:hint="eastAsia"/>
              </w:rPr>
              <w:t>审核期间内，设计和开发新产品/项目名称：计量检测范围误差控制系统V1.0</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灭火器</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18</w:t>
            </w:r>
            <w:r>
              <w:rPr>
                <w:rFonts w:hint="eastAsia"/>
              </w:rPr>
              <w:t>日进行了</w:t>
            </w:r>
            <w:r>
              <w:rPr>
                <w:rFonts w:hint="eastAsia"/>
                <w:lang w:val="en-US" w:eastAsia="zh-CN"/>
              </w:rPr>
              <w:t>消防</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lang w:val="en-US" w:eastAsia="zh-CN"/>
              </w:rPr>
            </w:pPr>
            <w:r>
              <w:rPr>
                <w:rFonts w:hint="eastAsia" w:ascii="Wingdings" w:hAnsi="Wingdings"/>
              </w:rPr>
              <w:t>¨</w:t>
            </w:r>
            <w:r>
              <w:rPr>
                <w:rFonts w:hint="eastAsia"/>
              </w:rPr>
              <w:t>定期（每年）：</w:t>
            </w:r>
            <w:r>
              <w:rPr>
                <w:rFonts w:hint="eastAsia"/>
                <w:lang w:val="en-US" w:eastAsia="zh-CN"/>
              </w:rPr>
              <w:t>2021年10月30日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2021.4.26-27</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最高管理者已按策划的时间间隔，在2021.6.10对组织的职业健康安全管理体系进行了评审，以确保其持续的适宜性、充分性和有效性；管理评审输入、输出均按要求提供。并对提出的改进措施进行了落实。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8"/>
      </w:pPr>
    </w:p>
    <w:tbl>
      <w:tblPr>
        <w:tblStyle w:val="14"/>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5" w:name="_GoBack"/>
            <w:bookmarkEnd w:id="35"/>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1"/>
      <w:pBdr>
        <w:bottom w:val="single" w:color="auto" w:sz="4" w:space="1"/>
      </w:pBdr>
      <w:spacing w:line="320" w:lineRule="exact"/>
      <w:ind w:firstLine="756" w:firstLineChars="400"/>
      <w:jc w:val="left"/>
      <w:rPr>
        <w:rStyle w:val="24"/>
        <w:rFonts w:hint="default"/>
      </w:rPr>
    </w:pPr>
    <w:r>
      <w:rPr>
        <w:rStyle w:val="24"/>
        <w:rFonts w:hint="default"/>
        <w:w w:val="90"/>
      </w:rPr>
      <w:t>Beijing International Standard united Certification Co.,Ltd.</w:t>
    </w:r>
    <w:r>
      <w:rPr>
        <w:rStyle w:val="24"/>
        <w:rFonts w:hint="default"/>
      </w:rPr>
      <w:tab/>
    </w:r>
    <w:r>
      <w:rPr>
        <w:rStyle w:val="24"/>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6EFF1B9A"/>
    <w:multiLevelType w:val="singleLevel"/>
    <w:tmpl w:val="6EFF1B9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6E0F71"/>
    <w:rsid w:val="1A6174E9"/>
    <w:rsid w:val="24F90566"/>
    <w:rsid w:val="28065A68"/>
    <w:rsid w:val="2F2D59E7"/>
    <w:rsid w:val="37220C10"/>
    <w:rsid w:val="46EE2B93"/>
    <w:rsid w:val="55793FD1"/>
    <w:rsid w:val="5D1A2AF0"/>
    <w:rsid w:val="5F030801"/>
    <w:rsid w:val="63294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180"/>
      </w:tabs>
      <w:spacing w:line="360" w:lineRule="auto"/>
      <w:jc w:val="left"/>
    </w:pPr>
    <w:rPr>
      <w:sz w:val="28"/>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next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paragraph" w:customStyle="1" w:styleId="18">
    <w:name w:val="表格文字"/>
    <w:basedOn w:val="1"/>
    <w:qFormat/>
    <w:uiPriority w:val="0"/>
    <w:pPr>
      <w:spacing w:before="25" w:after="25"/>
    </w:pPr>
    <w:rPr>
      <w:bCs/>
      <w:spacing w:val="10"/>
    </w:rPr>
  </w:style>
  <w:style w:type="paragraph" w:styleId="19">
    <w:name w:val="List Paragraph"/>
    <w:basedOn w:val="1"/>
    <w:qFormat/>
    <w:uiPriority w:val="34"/>
    <w:pPr>
      <w:ind w:firstLine="420" w:firstLineChars="200"/>
    </w:pPr>
  </w:style>
  <w:style w:type="character" w:customStyle="1" w:styleId="20">
    <w:name w:val="页眉 Char1"/>
    <w:basedOn w:val="16"/>
    <w:link w:val="11"/>
    <w:qFormat/>
    <w:uiPriority w:val="99"/>
    <w:rPr>
      <w:rFonts w:ascii="Times New Roman" w:hAnsi="Times New Roman" w:eastAsia="宋体" w:cs="Times New Roman"/>
      <w:sz w:val="18"/>
      <w:szCs w:val="18"/>
    </w:rPr>
  </w:style>
  <w:style w:type="character" w:customStyle="1" w:styleId="21">
    <w:name w:val="页脚 Char"/>
    <w:basedOn w:val="16"/>
    <w:link w:val="10"/>
    <w:qFormat/>
    <w:uiPriority w:val="99"/>
    <w:rPr>
      <w:rFonts w:ascii="Times New Roman" w:hAnsi="Times New Roman" w:eastAsia="宋体" w:cs="Times New Roman"/>
      <w:sz w:val="18"/>
      <w:szCs w:val="18"/>
    </w:rPr>
  </w:style>
  <w:style w:type="character" w:customStyle="1" w:styleId="22">
    <w:name w:val="批注框文本 Char"/>
    <w:basedOn w:val="16"/>
    <w:link w:val="9"/>
    <w:semiHidden/>
    <w:qFormat/>
    <w:uiPriority w:val="99"/>
    <w:rPr>
      <w:rFonts w:ascii="Times New Roman" w:hAnsi="Times New Roman" w:eastAsia="宋体" w:cs="Times New Roman"/>
      <w:sz w:val="18"/>
      <w:szCs w:val="18"/>
    </w:rPr>
  </w:style>
  <w:style w:type="character" w:customStyle="1" w:styleId="23">
    <w:name w:val="页眉 Char"/>
    <w:qFormat/>
    <w:uiPriority w:val="0"/>
    <w:rPr>
      <w:kern w:val="2"/>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Body 6pt"/>
    <w:basedOn w:val="1"/>
    <w:qFormat/>
    <w:uiPriority w:val="0"/>
    <w:pPr>
      <w:spacing w:before="40" w:after="40"/>
    </w:pPr>
    <w:rPr>
      <w:rFonts w:eastAsia="Times New Roman"/>
      <w:sz w:val="12"/>
      <w:szCs w:val="20"/>
      <w:lang w:val="de-DE" w:eastAsia="de-DE"/>
    </w:rPr>
  </w:style>
  <w:style w:type="paragraph" w:customStyle="1" w:styleId="26">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7">
    <w:name w:val="TM_accreditation"/>
    <w:basedOn w:val="1"/>
    <w:qFormat/>
    <w:uiPriority w:val="0"/>
    <w:pPr>
      <w:spacing w:before="40" w:after="40"/>
    </w:pPr>
    <w:rPr>
      <w:rFonts w:eastAsia="Times New Roman"/>
      <w:sz w:val="20"/>
      <w:szCs w:val="20"/>
      <w:lang w:val="en-GB" w:eastAsia="de-DE"/>
    </w:rPr>
  </w:style>
  <w:style w:type="paragraph" w:customStyle="1" w:styleId="28">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2022-03-11T02:22:45Z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