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pPr>
      <w:r>
        <w:rPr>
          <w:rFonts w:hint="eastAsia" w:asciiTheme="minorEastAsia" w:hAnsiTheme="minorEastAsia" w:eastAsiaTheme="minorEastAsia" w:cstheme="minorEastAsia"/>
          <w:bCs/>
          <w:color w:val="000000"/>
          <w:sz w:val="36"/>
          <w:szCs w:val="36"/>
        </w:rPr>
        <w:t>管理体系审核记录表</w:t>
      </w:r>
    </w:p>
    <w:tbl>
      <w:tblPr>
        <w:tblStyle w:val="15"/>
        <w:tblW w:w="14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3"/>
        <w:gridCol w:w="965"/>
        <w:gridCol w:w="10927"/>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173" w:type="dxa"/>
            <w:vMerge w:val="restart"/>
            <w:vAlign w:val="center"/>
          </w:tcPr>
          <w:p>
            <w:pPr>
              <w:spacing w:before="12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过程与活动、</w:t>
            </w:r>
          </w:p>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抽样计划</w:t>
            </w:r>
          </w:p>
        </w:tc>
        <w:tc>
          <w:tcPr>
            <w:tcW w:w="965" w:type="dxa"/>
            <w:vMerge w:val="restart"/>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涉及</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条款</w:t>
            </w:r>
          </w:p>
        </w:tc>
        <w:tc>
          <w:tcPr>
            <w:tcW w:w="10927" w:type="dxa"/>
            <w:vAlign w:val="center"/>
          </w:tcPr>
          <w:p>
            <w:pPr>
              <w:rPr>
                <w:rFonts w:hint="eastAsia" w:ascii="宋体" w:hAnsi="宋体" w:eastAsia="宋体" w:cs="宋体"/>
                <w:szCs w:val="22"/>
                <w:highlight w:val="none"/>
                <w:lang w:eastAsia="zh-CN"/>
              </w:rPr>
            </w:pPr>
            <w:r>
              <w:rPr>
                <w:rFonts w:hint="eastAsia" w:ascii="宋体" w:hAnsi="宋体" w:eastAsia="宋体" w:cs="宋体"/>
                <w:sz w:val="24"/>
                <w:szCs w:val="24"/>
              </w:rPr>
              <w:t>受审核部门：</w:t>
            </w:r>
            <w:r>
              <w:rPr>
                <w:rFonts w:hint="eastAsia" w:ascii="宋体" w:hAnsi="宋体" w:eastAsia="宋体" w:cs="宋体"/>
                <w:sz w:val="24"/>
                <w:szCs w:val="24"/>
                <w:lang w:val="en-US" w:eastAsia="zh-CN"/>
              </w:rPr>
              <w:t>专业计量室</w:t>
            </w:r>
            <w:r>
              <w:rPr>
                <w:rFonts w:hint="eastAsia" w:ascii="宋体" w:hAnsi="宋体" w:eastAsia="宋体" w:cs="宋体"/>
                <w:sz w:val="24"/>
                <w:szCs w:val="24"/>
              </w:rPr>
              <w:t xml:space="preserve">   主管领导：</w:t>
            </w:r>
            <w:r>
              <w:rPr>
                <w:rFonts w:hint="eastAsia" w:ascii="宋体" w:hAnsi="宋体" w:eastAsia="宋体" w:cs="宋体"/>
                <w:sz w:val="24"/>
                <w:szCs w:val="24"/>
                <w:lang w:val="en-US" w:eastAsia="zh-CN"/>
              </w:rPr>
              <w:t>刘海平</w:t>
            </w:r>
            <w:r>
              <w:rPr>
                <w:rFonts w:hint="eastAsia" w:ascii="宋体" w:hAnsi="宋体" w:eastAsia="宋体" w:cs="宋体"/>
                <w:sz w:val="24"/>
                <w:szCs w:val="24"/>
              </w:rPr>
              <w:t xml:space="preserve">      陪同人员：</w:t>
            </w:r>
            <w:r>
              <w:rPr>
                <w:rFonts w:hint="eastAsia" w:ascii="宋体" w:hAnsi="宋体" w:cs="宋体"/>
                <w:sz w:val="24"/>
                <w:szCs w:val="24"/>
                <w:lang w:val="en-US" w:eastAsia="zh-CN"/>
              </w:rPr>
              <w:t>张娟娟</w:t>
            </w:r>
          </w:p>
        </w:tc>
        <w:tc>
          <w:tcPr>
            <w:tcW w:w="732"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173" w:type="dxa"/>
            <w:vMerge w:val="continue"/>
            <w:vAlign w:val="center"/>
          </w:tcPr>
          <w:p>
            <w:pPr>
              <w:rPr>
                <w:rFonts w:hint="eastAsia" w:ascii="宋体" w:hAnsi="宋体" w:eastAsia="宋体" w:cs="宋体"/>
                <w:sz w:val="21"/>
                <w:szCs w:val="21"/>
                <w:highlight w:val="none"/>
              </w:rPr>
            </w:pPr>
          </w:p>
        </w:tc>
        <w:tc>
          <w:tcPr>
            <w:tcW w:w="965" w:type="dxa"/>
            <w:vMerge w:val="continue"/>
            <w:vAlign w:val="center"/>
          </w:tcPr>
          <w:p>
            <w:pPr>
              <w:rPr>
                <w:rFonts w:hint="eastAsia" w:ascii="宋体" w:hAnsi="宋体" w:eastAsia="宋体" w:cs="宋体"/>
                <w:sz w:val="21"/>
                <w:szCs w:val="21"/>
                <w:highlight w:val="none"/>
              </w:rPr>
            </w:pPr>
          </w:p>
        </w:tc>
        <w:tc>
          <w:tcPr>
            <w:tcW w:w="10927" w:type="dxa"/>
            <w:vAlign w:val="center"/>
          </w:tcPr>
          <w:p>
            <w:pPr>
              <w:spacing w:before="120"/>
              <w:rPr>
                <w:rFonts w:hint="eastAsia" w:ascii="宋体" w:hAnsi="宋体" w:eastAsia="宋体" w:cs="宋体"/>
                <w:szCs w:val="22"/>
                <w:highlight w:val="none"/>
              </w:rPr>
            </w:pPr>
            <w:r>
              <w:rPr>
                <w:rFonts w:hint="eastAsia" w:ascii="宋体" w:hAnsi="宋体" w:eastAsia="宋体" w:cs="宋体"/>
                <w:sz w:val="24"/>
                <w:szCs w:val="24"/>
              </w:rPr>
              <w:t>审核员：</w:t>
            </w:r>
            <w:r>
              <w:rPr>
                <w:rFonts w:hint="eastAsia" w:ascii="宋体" w:hAnsi="宋体" w:eastAsia="宋体" w:cs="宋体"/>
                <w:sz w:val="24"/>
                <w:szCs w:val="24"/>
                <w:lang w:val="en-US" w:eastAsia="zh-CN"/>
              </w:rPr>
              <w:t>郭力</w:t>
            </w:r>
            <w:r>
              <w:rPr>
                <w:rFonts w:hint="eastAsia" w:ascii="宋体" w:hAnsi="宋体" w:eastAsia="宋体" w:cs="宋体"/>
                <w:sz w:val="24"/>
                <w:szCs w:val="24"/>
              </w:rPr>
              <w:t xml:space="preserve">     审核时间：20</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2</w:t>
            </w:r>
            <w:r>
              <w:rPr>
                <w:rFonts w:hint="eastAsia" w:ascii="宋体" w:hAnsi="宋体" w:eastAsia="宋体" w:cs="宋体"/>
                <w:sz w:val="24"/>
                <w:szCs w:val="24"/>
              </w:rPr>
              <w:t>年</w:t>
            </w:r>
            <w:r>
              <w:rPr>
                <w:rFonts w:hint="eastAsia" w:ascii="宋体" w:hAnsi="宋体" w:cs="宋体"/>
                <w:sz w:val="24"/>
                <w:szCs w:val="24"/>
                <w:lang w:val="en-US" w:eastAsia="zh-CN"/>
              </w:rPr>
              <w:t>3</w:t>
            </w:r>
            <w:r>
              <w:rPr>
                <w:rFonts w:hint="eastAsia" w:ascii="宋体" w:hAnsi="宋体" w:eastAsia="宋体" w:cs="宋体"/>
                <w:sz w:val="24"/>
                <w:szCs w:val="24"/>
              </w:rPr>
              <w:t>月</w:t>
            </w:r>
            <w:r>
              <w:rPr>
                <w:rFonts w:hint="eastAsia" w:ascii="宋体" w:hAnsi="宋体" w:cs="宋体"/>
                <w:sz w:val="24"/>
                <w:szCs w:val="24"/>
                <w:lang w:val="en-US" w:eastAsia="zh-CN"/>
              </w:rPr>
              <w:t>10</w:t>
            </w:r>
            <w:r>
              <w:rPr>
                <w:rFonts w:hint="eastAsia" w:ascii="宋体" w:hAnsi="宋体" w:eastAsia="宋体" w:cs="宋体"/>
                <w:sz w:val="24"/>
                <w:szCs w:val="24"/>
                <w:lang w:val="en-US" w:eastAsia="zh-CN"/>
              </w:rPr>
              <w:t>日</w:t>
            </w:r>
          </w:p>
        </w:tc>
        <w:tc>
          <w:tcPr>
            <w:tcW w:w="732"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73" w:type="dxa"/>
            <w:vMerge w:val="continue"/>
            <w:vAlign w:val="center"/>
          </w:tcPr>
          <w:p>
            <w:pPr>
              <w:rPr>
                <w:rFonts w:hint="eastAsia" w:ascii="宋体" w:hAnsi="宋体" w:eastAsia="宋体" w:cs="宋体"/>
                <w:sz w:val="21"/>
                <w:szCs w:val="21"/>
                <w:highlight w:val="none"/>
              </w:rPr>
            </w:pPr>
          </w:p>
        </w:tc>
        <w:tc>
          <w:tcPr>
            <w:tcW w:w="965" w:type="dxa"/>
            <w:vMerge w:val="continue"/>
            <w:vAlign w:val="center"/>
          </w:tcPr>
          <w:p>
            <w:pPr>
              <w:rPr>
                <w:rFonts w:hint="eastAsia" w:ascii="宋体" w:hAnsi="宋体" w:eastAsia="宋体" w:cs="宋体"/>
                <w:sz w:val="21"/>
                <w:szCs w:val="21"/>
                <w:highlight w:val="none"/>
              </w:rPr>
            </w:pPr>
          </w:p>
        </w:tc>
        <w:tc>
          <w:tcPr>
            <w:tcW w:w="10927" w:type="dxa"/>
            <w:vAlign w:val="center"/>
          </w:tcPr>
          <w:p>
            <w:pPr>
              <w:rPr>
                <w:rFonts w:hint="eastAsia" w:ascii="宋体" w:hAnsi="宋体" w:eastAsia="宋体" w:cs="宋体"/>
                <w:szCs w:val="22"/>
                <w:highlight w:val="none"/>
              </w:rPr>
            </w:pPr>
            <w:r>
              <w:rPr>
                <w:rFonts w:hint="eastAsia" w:ascii="宋体" w:hAnsi="宋体" w:eastAsia="宋体" w:cs="宋体"/>
                <w:szCs w:val="22"/>
                <w:highlight w:val="none"/>
              </w:rPr>
              <w:t>审核条款：</w:t>
            </w:r>
          </w:p>
          <w:p>
            <w:pPr>
              <w:rPr>
                <w:rFonts w:hint="eastAsia" w:ascii="宋体" w:hAnsi="宋体" w:eastAsia="宋体" w:cs="宋体"/>
                <w:szCs w:val="22"/>
                <w:highlight w:val="none"/>
              </w:rPr>
            </w:pPr>
            <w:r>
              <w:rPr>
                <w:rFonts w:hint="eastAsia" w:asciiTheme="minorEastAsia" w:hAnsiTheme="minorEastAsia" w:eastAsiaTheme="minorEastAsia" w:cstheme="minorEastAsia"/>
                <w:b w:val="0"/>
                <w:bCs w:val="0"/>
                <w:color w:val="auto"/>
                <w:sz w:val="21"/>
                <w:szCs w:val="21"/>
                <w:lang w:val="en-US" w:eastAsia="zh-CN"/>
              </w:rPr>
              <w:t>Q：</w:t>
            </w:r>
            <w:r>
              <w:rPr>
                <w:rFonts w:hint="eastAsia" w:ascii="宋体" w:hAnsi="宋体" w:cs="Arial"/>
                <w:color w:val="auto"/>
                <w:sz w:val="21"/>
                <w:szCs w:val="21"/>
              </w:rPr>
              <w:t>8.5.2</w:t>
            </w:r>
            <w:r>
              <w:rPr>
                <w:rFonts w:hint="eastAsia" w:ascii="宋体" w:hAnsi="宋体" w:cs="Arial"/>
                <w:color w:val="auto"/>
                <w:sz w:val="21"/>
                <w:szCs w:val="21"/>
                <w:lang w:eastAsia="zh-CN"/>
              </w:rPr>
              <w:t>、</w:t>
            </w:r>
            <w:r>
              <w:rPr>
                <w:rFonts w:hint="eastAsia" w:ascii="宋体" w:hAnsi="宋体" w:cs="Arial"/>
                <w:color w:val="auto"/>
                <w:sz w:val="21"/>
                <w:szCs w:val="21"/>
              </w:rPr>
              <w:t>8.5.3</w:t>
            </w:r>
            <w:r>
              <w:rPr>
                <w:rFonts w:hint="eastAsia" w:ascii="宋体" w:hAnsi="宋体" w:cs="Arial"/>
                <w:color w:val="auto"/>
                <w:sz w:val="21"/>
                <w:szCs w:val="21"/>
                <w:lang w:eastAsia="zh-CN"/>
              </w:rPr>
              <w:t>、</w:t>
            </w:r>
            <w:r>
              <w:rPr>
                <w:rFonts w:hint="eastAsia" w:ascii="宋体" w:hAnsi="宋体" w:cs="Arial"/>
                <w:color w:val="auto"/>
                <w:sz w:val="21"/>
                <w:szCs w:val="21"/>
              </w:rPr>
              <w:t>8.5.4</w:t>
            </w:r>
            <w:r>
              <w:rPr>
                <w:rFonts w:hint="eastAsia" w:ascii="宋体" w:hAnsi="宋体" w:cs="Arial"/>
                <w:color w:val="auto"/>
                <w:sz w:val="21"/>
                <w:szCs w:val="21"/>
                <w:lang w:eastAsia="zh-CN"/>
              </w:rPr>
              <w:t>、</w:t>
            </w:r>
            <w:r>
              <w:rPr>
                <w:rFonts w:hint="eastAsia" w:ascii="宋体" w:hAnsi="宋体" w:cs="Arial"/>
                <w:color w:val="auto"/>
                <w:sz w:val="21"/>
                <w:szCs w:val="21"/>
              </w:rPr>
              <w:t>8.5.5</w:t>
            </w:r>
            <w:r>
              <w:rPr>
                <w:rFonts w:hint="eastAsia" w:ascii="宋体" w:hAnsi="宋体" w:cs="Arial"/>
                <w:color w:val="auto"/>
                <w:sz w:val="21"/>
                <w:szCs w:val="21"/>
                <w:lang w:eastAsia="zh-CN"/>
              </w:rPr>
              <w:t>、</w:t>
            </w:r>
            <w:r>
              <w:rPr>
                <w:rFonts w:hint="eastAsia" w:ascii="宋体" w:hAnsi="宋体" w:cs="Arial"/>
                <w:color w:val="auto"/>
                <w:sz w:val="21"/>
                <w:szCs w:val="21"/>
              </w:rPr>
              <w:t>8.5.</w:t>
            </w:r>
            <w:r>
              <w:rPr>
                <w:rFonts w:hint="eastAsia" w:ascii="宋体" w:hAnsi="宋体" w:cs="Arial"/>
                <w:color w:val="auto"/>
                <w:sz w:val="21"/>
                <w:szCs w:val="21"/>
                <w:lang w:val="en-US" w:eastAsia="zh-CN"/>
              </w:rPr>
              <w:t>6</w:t>
            </w:r>
          </w:p>
        </w:tc>
        <w:tc>
          <w:tcPr>
            <w:tcW w:w="732"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2173" w:type="dxa"/>
            <w:vAlign w:val="top"/>
          </w:tcPr>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楷体" w:hAnsi="楷体" w:eastAsia="楷体" w:cs="宋体"/>
                <w:kern w:val="2"/>
                <w:sz w:val="24"/>
                <w:szCs w:val="24"/>
                <w:lang w:val="en-US" w:eastAsia="zh-CN" w:bidi="ar-SA"/>
              </w:rPr>
            </w:pPr>
            <w:r>
              <w:rPr>
                <w:rFonts w:hint="eastAsia" w:ascii="楷体" w:hAnsi="楷体" w:eastAsia="楷体"/>
                <w:sz w:val="24"/>
                <w:szCs w:val="24"/>
              </w:rPr>
              <w:t>标识和可追溯</w:t>
            </w:r>
          </w:p>
        </w:tc>
        <w:tc>
          <w:tcPr>
            <w:tcW w:w="965" w:type="dxa"/>
            <w:vAlign w:val="top"/>
          </w:tcPr>
          <w:p>
            <w:pPr>
              <w:spacing w:line="360" w:lineRule="auto"/>
              <w:rPr>
                <w:rFonts w:ascii="楷体" w:hAnsi="楷体" w:eastAsia="楷体" w:cs="宋体"/>
                <w:b/>
                <w:bCs/>
                <w:sz w:val="24"/>
                <w:szCs w:val="24"/>
              </w:rPr>
            </w:pPr>
          </w:p>
          <w:p>
            <w:pPr>
              <w:spacing w:line="360" w:lineRule="auto"/>
              <w:rPr>
                <w:rFonts w:ascii="楷体" w:hAnsi="楷体" w:eastAsia="楷体" w:cs="宋体"/>
                <w:b/>
                <w:bCs/>
                <w:sz w:val="24"/>
                <w:szCs w:val="24"/>
              </w:rPr>
            </w:pPr>
          </w:p>
          <w:p>
            <w:pPr>
              <w:spacing w:line="360" w:lineRule="auto"/>
              <w:rPr>
                <w:rFonts w:ascii="楷体" w:hAnsi="楷体" w:eastAsia="楷体" w:cs="宋体"/>
                <w:b/>
                <w:bCs/>
                <w:sz w:val="24"/>
                <w:szCs w:val="24"/>
              </w:rPr>
            </w:pPr>
          </w:p>
          <w:p>
            <w:pPr>
              <w:spacing w:line="360" w:lineRule="auto"/>
              <w:rPr>
                <w:rFonts w:hint="eastAsia" w:ascii="楷体" w:hAnsi="楷体" w:eastAsia="楷体" w:cs="Times New Roman"/>
                <w:sz w:val="24"/>
                <w:szCs w:val="24"/>
              </w:rPr>
            </w:pPr>
            <w:r>
              <w:rPr>
                <w:rFonts w:hint="eastAsia" w:ascii="楷体" w:hAnsi="楷体" w:eastAsia="楷体" w:cs="Times New Roman"/>
                <w:sz w:val="24"/>
                <w:szCs w:val="24"/>
              </w:rPr>
              <w:t>Q8.5.2</w:t>
            </w:r>
          </w:p>
          <w:p>
            <w:pPr>
              <w:spacing w:line="360" w:lineRule="auto"/>
              <w:rPr>
                <w:rFonts w:hint="eastAsia" w:ascii="楷体" w:hAnsi="楷体" w:eastAsia="楷体" w:cs="宋体"/>
                <w:b/>
                <w:kern w:val="2"/>
                <w:sz w:val="24"/>
                <w:szCs w:val="24"/>
                <w:lang w:val="en-US" w:eastAsia="zh-CN" w:bidi="ar-SA"/>
              </w:rPr>
            </w:pPr>
          </w:p>
        </w:tc>
        <w:tc>
          <w:tcPr>
            <w:tcW w:w="10927" w:type="dxa"/>
            <w:vAlign w:val="top"/>
          </w:tcPr>
          <w:p>
            <w:pPr>
              <w:pStyle w:val="26"/>
              <w:spacing w:line="240" w:lineRule="auto"/>
              <w:jc w:val="both"/>
              <w:rPr>
                <w:rFonts w:hint="eastAsia" w:ascii="宋体" w:hAnsi="宋体" w:eastAsia="宋体" w:cs="宋体"/>
                <w:sz w:val="21"/>
                <w:szCs w:val="21"/>
              </w:rPr>
            </w:pPr>
            <w:r>
              <w:rPr>
                <w:rFonts w:hint="eastAsia" w:ascii="宋体" w:hAnsi="宋体" w:eastAsia="宋体" w:cs="宋体"/>
                <w:sz w:val="21"/>
                <w:szCs w:val="21"/>
              </w:rPr>
              <w:t>制定了《样品管理程序》样品的运输、接收、发放、标识、流转、保护、存储、保留及处理，以充分保护样品的完整性，保护委托双方的利益。</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为防止样品在管理上发生混淆，本公司建立了样品标识系统，标示系统由质量负责人制定，对于样品进行唯一性标识，根据样品所处的不同状态，分为“待检”、“在检”、“已检”和“留样”。样品标识存在于样品接收、下发、校准/检测/检定和留样保存等各个环节。</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服务</w:t>
            </w:r>
            <w:r>
              <w:rPr>
                <w:rFonts w:hint="eastAsia" w:ascii="宋体" w:hAnsi="宋体" w:eastAsia="宋体" w:cs="宋体"/>
                <w:sz w:val="21"/>
                <w:szCs w:val="21"/>
              </w:rPr>
              <w:t>标识主要通过划分区域、检验记录等进行标识，状态标识分为</w:t>
            </w:r>
            <w:r>
              <w:rPr>
                <w:rFonts w:hint="eastAsia" w:ascii="宋体" w:hAnsi="宋体" w:eastAsia="宋体" w:cs="宋体"/>
                <w:sz w:val="21"/>
                <w:szCs w:val="21"/>
                <w:lang w:val="en-US" w:eastAsia="zh-CN"/>
              </w:rPr>
              <w:t>已检</w:t>
            </w:r>
            <w:r>
              <w:rPr>
                <w:rFonts w:hint="eastAsia" w:ascii="宋体" w:hAnsi="宋体" w:eastAsia="宋体" w:cs="宋体"/>
                <w:sz w:val="21"/>
                <w:szCs w:val="21"/>
              </w:rPr>
              <w:t>、待检等，</w:t>
            </w:r>
            <w:r>
              <w:rPr>
                <w:rFonts w:hint="eastAsia" w:ascii="宋体" w:hAnsi="宋体" w:eastAsia="宋体" w:cs="宋体"/>
                <w:sz w:val="21"/>
                <w:szCs w:val="21"/>
                <w:lang w:val="en-US" w:eastAsia="zh-CN"/>
              </w:rPr>
              <w:t>检测</w:t>
            </w:r>
            <w:r>
              <w:rPr>
                <w:rFonts w:hint="eastAsia" w:ascii="宋体" w:hAnsi="宋体" w:eastAsia="宋体" w:cs="宋体"/>
                <w:sz w:val="21"/>
                <w:szCs w:val="21"/>
              </w:rPr>
              <w:t>过程中和监视和测量过程中有采取适当的方式对检验状态</w:t>
            </w:r>
            <w:r>
              <w:rPr>
                <w:rFonts w:hint="eastAsia" w:ascii="宋体" w:hAnsi="宋体" w:eastAsia="宋体" w:cs="宋体"/>
                <w:sz w:val="21"/>
                <w:szCs w:val="21"/>
                <w:lang w:val="en-US" w:eastAsia="zh-CN"/>
              </w:rPr>
              <w:t>贴标识</w:t>
            </w:r>
            <w:r>
              <w:rPr>
                <w:rFonts w:hint="eastAsia" w:ascii="宋体" w:hAnsi="宋体" w:eastAsia="宋体" w:cs="宋体"/>
                <w:sz w:val="21"/>
                <w:szCs w:val="21"/>
              </w:rPr>
              <w:t>，标识确保唯一性，当有追溯性要求时，可确保在必要时进行追溯。</w:t>
            </w:r>
          </w:p>
          <w:p>
            <w:pPr>
              <w:spacing w:line="240" w:lineRule="auto"/>
              <w:ind w:firstLine="420" w:firstLineChars="200"/>
              <w:rPr>
                <w:rFonts w:hint="eastAsia"/>
              </w:rPr>
            </w:pPr>
            <w:r>
              <w:rPr>
                <w:rFonts w:hint="eastAsia" w:ascii="宋体" w:hAnsi="宋体" w:eastAsia="宋体" w:cs="宋体"/>
                <w:sz w:val="21"/>
                <w:szCs w:val="21"/>
                <w:lang w:val="en-US" w:eastAsia="zh-CN"/>
              </w:rPr>
              <w:t>检测配件</w:t>
            </w:r>
            <w:r>
              <w:rPr>
                <w:rFonts w:hint="eastAsia" w:ascii="宋体" w:hAnsi="宋体" w:eastAsia="宋体" w:cs="宋体"/>
                <w:sz w:val="21"/>
                <w:szCs w:val="21"/>
              </w:rPr>
              <w:t>分类分区放置在指定仓库、产品标识方法得当、未发现不同类型和状态产品发生混淆现象。标识和可追溯性基本符合标准要求</w:t>
            </w:r>
            <w:r>
              <w:rPr>
                <w:rFonts w:hint="eastAsia"/>
              </w:rPr>
              <w:t>。</w:t>
            </w:r>
          </w:p>
          <w:p>
            <w:pPr>
              <w:pStyle w:val="6"/>
              <w:tabs>
                <w:tab w:val="left" w:pos="3510"/>
                <w:tab w:val="left" w:pos="3585"/>
                <w:tab w:val="center" w:pos="4410"/>
                <w:tab w:val="left" w:pos="4620"/>
                <w:tab w:val="left" w:pos="4830"/>
                <w:tab w:val="left" w:pos="5580"/>
              </w:tabs>
              <w:rPr>
                <w:rFonts w:hint="eastAsia" w:eastAsia="宋体"/>
                <w:lang w:eastAsia="zh-CN"/>
              </w:rPr>
            </w:pPr>
            <w:r>
              <w:rPr>
                <w:rFonts w:hint="eastAsia" w:eastAsia="宋体"/>
                <w:lang w:eastAsia="zh-CN"/>
              </w:rPr>
              <w:drawing>
                <wp:anchor distT="0" distB="0" distL="114300" distR="114300" simplePos="0" relativeHeight="251663360" behindDoc="0" locked="0" layoutInCell="1" allowOverlap="1">
                  <wp:simplePos x="0" y="0"/>
                  <wp:positionH relativeFrom="column">
                    <wp:posOffset>3691255</wp:posOffset>
                  </wp:positionH>
                  <wp:positionV relativeFrom="paragraph">
                    <wp:posOffset>-259080</wp:posOffset>
                  </wp:positionV>
                  <wp:extent cx="1877060" cy="2781300"/>
                  <wp:effectExtent l="0" t="0" r="0" b="2540"/>
                  <wp:wrapNone/>
                  <wp:docPr id="2" name="图片 2" descr="bd908d7f95a75c44c4888d63f6ae2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d908d7f95a75c44c4888d63f6ae2fb"/>
                          <pic:cNvPicPr>
                            <a:picLocks noChangeAspect="1"/>
                          </pic:cNvPicPr>
                        </pic:nvPicPr>
                        <pic:blipFill>
                          <a:blip r:embed="rId6"/>
                          <a:stretch>
                            <a:fillRect/>
                          </a:stretch>
                        </pic:blipFill>
                        <pic:spPr>
                          <a:xfrm rot="5400000">
                            <a:off x="0" y="0"/>
                            <a:ext cx="1877060" cy="2781300"/>
                          </a:xfrm>
                          <a:prstGeom prst="rect">
                            <a:avLst/>
                          </a:prstGeom>
                        </pic:spPr>
                      </pic:pic>
                    </a:graphicData>
                  </a:graphic>
                </wp:anchor>
              </w:drawing>
            </w:r>
            <w:r>
              <w:rPr>
                <w:rFonts w:hint="eastAsia" w:eastAsia="宋体"/>
                <w:lang w:eastAsia="zh-CN"/>
              </w:rPr>
              <w:drawing>
                <wp:anchor distT="0" distB="0" distL="114300" distR="114300" simplePos="0" relativeHeight="251662336" behindDoc="0" locked="0" layoutInCell="1" allowOverlap="1">
                  <wp:simplePos x="0" y="0"/>
                  <wp:positionH relativeFrom="column">
                    <wp:posOffset>83185</wp:posOffset>
                  </wp:positionH>
                  <wp:positionV relativeFrom="paragraph">
                    <wp:posOffset>171450</wp:posOffset>
                  </wp:positionV>
                  <wp:extent cx="2832735" cy="1913255"/>
                  <wp:effectExtent l="0" t="0" r="12065" b="4445"/>
                  <wp:wrapNone/>
                  <wp:docPr id="1" name="图片 1" descr="3e0c402e61811a295f755296fee9e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e0c402e61811a295f755296fee9e36"/>
                          <pic:cNvPicPr>
                            <a:picLocks noChangeAspect="1"/>
                          </pic:cNvPicPr>
                        </pic:nvPicPr>
                        <pic:blipFill>
                          <a:blip r:embed="rId7"/>
                          <a:stretch>
                            <a:fillRect/>
                          </a:stretch>
                        </pic:blipFill>
                        <pic:spPr>
                          <a:xfrm>
                            <a:off x="0" y="0"/>
                            <a:ext cx="2832735" cy="1913255"/>
                          </a:xfrm>
                          <a:prstGeom prst="rect">
                            <a:avLst/>
                          </a:prstGeom>
                        </pic:spPr>
                      </pic:pic>
                    </a:graphicData>
                  </a:graphic>
                </wp:anchor>
              </w:drawing>
            </w:r>
          </w:p>
          <w:p>
            <w:pPr>
              <w:pStyle w:val="7"/>
              <w:rPr>
                <w:rFonts w:hint="eastAsia" w:eastAsia="宋体"/>
                <w:lang w:eastAsia="zh-CN"/>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ind w:left="0" w:leftChars="0" w:firstLine="0" w:firstLineChars="0"/>
              <w:rPr>
                <w:rFonts w:hint="eastAsia" w:ascii="Times New Roman" w:hAnsi="Times New Roman" w:eastAsia="宋体" w:cs="Times New Roman"/>
                <w:kern w:val="0"/>
                <w:sz w:val="21"/>
                <w:lang w:val="en-US" w:eastAsia="zh-CN" w:bidi="ar-SA"/>
              </w:rPr>
            </w:pPr>
          </w:p>
        </w:tc>
        <w:tc>
          <w:tcPr>
            <w:tcW w:w="732"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9" w:hRule="atLeast"/>
        </w:trPr>
        <w:tc>
          <w:tcPr>
            <w:tcW w:w="2173" w:type="dxa"/>
            <w:vAlign w:val="top"/>
          </w:tcPr>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cs="宋体"/>
                <w:kern w:val="2"/>
                <w:sz w:val="24"/>
                <w:szCs w:val="24"/>
                <w:lang w:val="en-US" w:eastAsia="zh-CN" w:bidi="ar-SA"/>
              </w:rPr>
            </w:pPr>
            <w:r>
              <w:rPr>
                <w:rFonts w:hint="eastAsia" w:ascii="楷体" w:hAnsi="楷体" w:eastAsia="楷体"/>
                <w:sz w:val="24"/>
                <w:szCs w:val="24"/>
                <w:lang w:val="en-US" w:eastAsia="zh-CN"/>
              </w:rPr>
              <w:t>顾客或外部供方的财产</w:t>
            </w:r>
            <w:r>
              <w:rPr>
                <w:rFonts w:ascii="楷体" w:hAnsi="楷体" w:eastAsia="楷体"/>
                <w:sz w:val="24"/>
                <w:szCs w:val="24"/>
              </w:rPr>
              <w:t>/</w:t>
            </w:r>
            <w:r>
              <w:rPr>
                <w:rFonts w:hint="eastAsia" w:ascii="楷体" w:hAnsi="楷体" w:eastAsia="楷体"/>
                <w:sz w:val="24"/>
                <w:szCs w:val="24"/>
              </w:rPr>
              <w:t>产品防护</w:t>
            </w:r>
          </w:p>
        </w:tc>
        <w:tc>
          <w:tcPr>
            <w:tcW w:w="965" w:type="dxa"/>
            <w:vAlign w:val="top"/>
          </w:tcPr>
          <w:p>
            <w:pPr>
              <w:pStyle w:val="6"/>
              <w:tabs>
                <w:tab w:val="left" w:pos="3510"/>
                <w:tab w:val="left" w:pos="3585"/>
                <w:tab w:val="center" w:pos="4410"/>
                <w:tab w:val="left" w:pos="4620"/>
                <w:tab w:val="left" w:pos="4830"/>
                <w:tab w:val="left" w:pos="5580"/>
              </w:tabs>
              <w:rPr>
                <w:rFonts w:ascii="楷体" w:hAnsi="楷体" w:eastAsia="楷体" w:cs="宋体"/>
                <w:b/>
                <w:bCs/>
                <w:sz w:val="24"/>
                <w:szCs w:val="24"/>
              </w:rPr>
            </w:pPr>
          </w:p>
          <w:p>
            <w:pPr>
              <w:pStyle w:val="6"/>
              <w:tabs>
                <w:tab w:val="left" w:pos="3510"/>
                <w:tab w:val="left" w:pos="3585"/>
                <w:tab w:val="center" w:pos="4410"/>
                <w:tab w:val="left" w:pos="4620"/>
                <w:tab w:val="left" w:pos="4830"/>
                <w:tab w:val="left" w:pos="5580"/>
              </w:tabs>
              <w:rPr>
                <w:rFonts w:ascii="楷体" w:hAnsi="楷体" w:eastAsia="楷体" w:cs="宋体"/>
                <w:b/>
                <w:bCs/>
                <w:sz w:val="24"/>
                <w:szCs w:val="24"/>
              </w:rPr>
            </w:pPr>
          </w:p>
          <w:p>
            <w:pPr>
              <w:pStyle w:val="6"/>
              <w:tabs>
                <w:tab w:val="left" w:pos="3510"/>
                <w:tab w:val="left" w:pos="3585"/>
                <w:tab w:val="center" w:pos="4410"/>
                <w:tab w:val="left" w:pos="4620"/>
                <w:tab w:val="left" w:pos="4830"/>
                <w:tab w:val="left" w:pos="5580"/>
              </w:tabs>
              <w:rPr>
                <w:rFonts w:ascii="楷体" w:hAnsi="楷体" w:eastAsia="楷体" w:cs="宋体"/>
                <w:b/>
                <w:bCs/>
                <w:sz w:val="24"/>
                <w:szCs w:val="24"/>
              </w:rPr>
            </w:pPr>
          </w:p>
          <w:p>
            <w:pPr>
              <w:spacing w:line="360" w:lineRule="auto"/>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Q8.5.3</w:t>
            </w:r>
          </w:p>
          <w:p>
            <w:pPr>
              <w:spacing w:line="360" w:lineRule="auto"/>
              <w:rPr>
                <w:rFonts w:hint="eastAsia" w:ascii="楷体" w:hAnsi="楷体" w:eastAsia="楷体" w:cs="宋体"/>
                <w:kern w:val="2"/>
                <w:sz w:val="24"/>
                <w:szCs w:val="24"/>
                <w:lang w:val="en-US" w:eastAsia="zh-CN" w:bidi="ar-SA"/>
              </w:rPr>
            </w:pPr>
            <w:r>
              <w:rPr>
                <w:rFonts w:hint="eastAsia" w:ascii="楷体" w:hAnsi="楷体" w:eastAsia="楷体" w:cs="Times New Roman"/>
                <w:sz w:val="24"/>
                <w:szCs w:val="24"/>
                <w:lang w:val="en-US" w:eastAsia="zh-CN"/>
              </w:rPr>
              <w:t>Q8.5.4</w:t>
            </w:r>
          </w:p>
        </w:tc>
        <w:tc>
          <w:tcPr>
            <w:tcW w:w="10927" w:type="dxa"/>
            <w:vAlign w:val="top"/>
          </w:tcPr>
          <w:p>
            <w:pPr>
              <w:spacing w:line="360" w:lineRule="auto"/>
              <w:ind w:firstLine="420" w:firstLineChars="200"/>
              <w:rPr>
                <w:rFonts w:hint="eastAsia"/>
              </w:rPr>
            </w:pPr>
            <w:r>
              <w:rPr>
                <w:rFonts w:hint="eastAsia"/>
                <w:lang w:val="en-US" w:eastAsia="zh-CN"/>
              </w:rPr>
              <w:t>检测</w:t>
            </w:r>
            <w:r>
              <w:rPr>
                <w:rFonts w:hint="eastAsia"/>
              </w:rPr>
              <w:t>过程中有采取相应的措施进行防护，以确保符合要求。防护包括标识、处置、污染控制、包装、储存、运输以及保护等。</w:t>
            </w:r>
          </w:p>
          <w:p>
            <w:pPr>
              <w:pStyle w:val="2"/>
              <w:rPr>
                <w:rFonts w:hint="eastAsia" w:eastAsia="宋体"/>
                <w:lang w:eastAsia="zh-CN"/>
              </w:rPr>
            </w:pPr>
            <w:r>
              <w:rPr>
                <w:rFonts w:hint="eastAsia" w:eastAsia="宋体"/>
                <w:lang w:eastAsia="zh-CN"/>
              </w:rPr>
              <w:drawing>
                <wp:anchor distT="0" distB="0" distL="114300" distR="114300" simplePos="0" relativeHeight="251664384" behindDoc="0" locked="0" layoutInCell="1" allowOverlap="1">
                  <wp:simplePos x="0" y="0"/>
                  <wp:positionH relativeFrom="column">
                    <wp:posOffset>146050</wp:posOffset>
                  </wp:positionH>
                  <wp:positionV relativeFrom="paragraph">
                    <wp:posOffset>17780</wp:posOffset>
                  </wp:positionV>
                  <wp:extent cx="2711450" cy="1829435"/>
                  <wp:effectExtent l="0" t="0" r="6350" b="12065"/>
                  <wp:wrapNone/>
                  <wp:docPr id="4" name="图片 4" descr="2e1191a7570b59842fbbfde54185b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e1191a7570b59842fbbfde54185b92"/>
                          <pic:cNvPicPr>
                            <a:picLocks noChangeAspect="1"/>
                          </pic:cNvPicPr>
                        </pic:nvPicPr>
                        <pic:blipFill>
                          <a:blip r:embed="rId8"/>
                          <a:stretch>
                            <a:fillRect/>
                          </a:stretch>
                        </pic:blipFill>
                        <pic:spPr>
                          <a:xfrm>
                            <a:off x="0" y="0"/>
                            <a:ext cx="2711450" cy="1829435"/>
                          </a:xfrm>
                          <a:prstGeom prst="rect">
                            <a:avLst/>
                          </a:prstGeom>
                        </pic:spPr>
                      </pic:pic>
                    </a:graphicData>
                  </a:graphic>
                </wp:anchor>
              </w:drawing>
            </w:r>
            <w:r>
              <w:rPr>
                <w:rFonts w:hint="eastAsia"/>
                <w:lang w:eastAsia="zh-CN"/>
              </w:rPr>
              <w:drawing>
                <wp:anchor distT="0" distB="0" distL="114300" distR="114300" simplePos="0" relativeHeight="251661312" behindDoc="0" locked="0" layoutInCell="1" allowOverlap="1">
                  <wp:simplePos x="0" y="0"/>
                  <wp:positionH relativeFrom="column">
                    <wp:posOffset>3206750</wp:posOffset>
                  </wp:positionH>
                  <wp:positionV relativeFrom="paragraph">
                    <wp:posOffset>38100</wp:posOffset>
                  </wp:positionV>
                  <wp:extent cx="3314700" cy="1864995"/>
                  <wp:effectExtent l="0" t="0" r="0" b="1905"/>
                  <wp:wrapNone/>
                  <wp:docPr id="8" name="图片 4" descr="c454a2554f7911576bad1e8417479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c454a2554f7911576bad1e8417479b4"/>
                          <pic:cNvPicPr>
                            <a:picLocks noChangeAspect="1"/>
                          </pic:cNvPicPr>
                        </pic:nvPicPr>
                        <pic:blipFill>
                          <a:blip r:embed="rId9"/>
                          <a:stretch>
                            <a:fillRect/>
                          </a:stretch>
                        </pic:blipFill>
                        <pic:spPr>
                          <a:xfrm>
                            <a:off x="0" y="0"/>
                            <a:ext cx="3314700" cy="1864995"/>
                          </a:xfrm>
                          <a:prstGeom prst="rect">
                            <a:avLst/>
                          </a:prstGeom>
                          <a:noFill/>
                          <a:ln>
                            <a:noFill/>
                          </a:ln>
                        </pic:spPr>
                      </pic:pic>
                    </a:graphicData>
                  </a:graphic>
                </wp:anchor>
              </w:drawing>
            </w:r>
          </w:p>
          <w:p>
            <w:pPr>
              <w:pStyle w:val="2"/>
              <w:rPr>
                <w:rFonts w:hint="eastAsia"/>
              </w:rPr>
            </w:pPr>
          </w:p>
          <w:p>
            <w:pPr>
              <w:pStyle w:val="2"/>
              <w:rPr>
                <w:rFonts w:hint="eastAsia"/>
                <w:lang w:eastAsia="zh-CN"/>
              </w:rPr>
            </w:pPr>
          </w:p>
          <w:p>
            <w:pPr>
              <w:pStyle w:val="2"/>
              <w:rPr>
                <w:rFonts w:hint="eastAsia"/>
              </w:rPr>
            </w:pPr>
          </w:p>
          <w:p>
            <w:pPr>
              <w:pStyle w:val="2"/>
              <w:rPr>
                <w:rFonts w:hint="eastAsia"/>
                <w:lang w:eastAsia="zh-CN"/>
              </w:rPr>
            </w:pPr>
          </w:p>
          <w:p>
            <w:pPr>
              <w:pStyle w:val="2"/>
              <w:rPr>
                <w:rFonts w:hint="eastAsia"/>
              </w:rPr>
            </w:pPr>
          </w:p>
          <w:p>
            <w:pPr>
              <w:pStyle w:val="2"/>
              <w:rPr>
                <w:rFonts w:hint="eastAsia"/>
                <w:lang w:val="en-US" w:eastAsia="zh-CN"/>
              </w:rPr>
            </w:pPr>
          </w:p>
          <w:p>
            <w:pPr>
              <w:rPr>
                <w:rFonts w:hint="eastAsia"/>
                <w:lang w:val="en-US" w:eastAsia="zh-CN"/>
              </w:rPr>
            </w:pPr>
          </w:p>
        </w:tc>
        <w:tc>
          <w:tcPr>
            <w:tcW w:w="732"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3" w:type="dxa"/>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交付后的活动</w:t>
            </w:r>
          </w:p>
        </w:tc>
        <w:tc>
          <w:tcPr>
            <w:tcW w:w="965" w:type="dxa"/>
            <w:vAlign w:val="top"/>
          </w:tcPr>
          <w:p>
            <w:pPr>
              <w:spacing w:line="360" w:lineRule="auto"/>
              <w:rPr>
                <w:rFonts w:hint="eastAsia" w:ascii="宋体" w:hAnsi="宋体" w:eastAsia="宋体" w:cs="宋体"/>
                <w:bCs/>
                <w:kern w:val="2"/>
                <w:sz w:val="24"/>
                <w:szCs w:val="24"/>
                <w:lang w:val="en-US" w:eastAsia="zh-CN" w:bidi="ar-SA"/>
              </w:rPr>
            </w:pPr>
            <w:r>
              <w:rPr>
                <w:rFonts w:hint="eastAsia" w:ascii="宋体" w:hAnsi="宋体" w:eastAsia="宋体" w:cs="宋体"/>
                <w:sz w:val="24"/>
                <w:szCs w:val="24"/>
              </w:rPr>
              <w:t>8.5.5</w:t>
            </w:r>
            <w:r>
              <w:rPr>
                <w:rFonts w:hint="eastAsia" w:ascii="宋体" w:hAnsi="宋体" w:eastAsia="宋体" w:cs="宋体"/>
                <w:bCs/>
                <w:sz w:val="24"/>
                <w:szCs w:val="24"/>
              </w:rPr>
              <w:t xml:space="preserve"> </w:t>
            </w:r>
          </w:p>
        </w:tc>
        <w:tc>
          <w:tcPr>
            <w:tcW w:w="10927" w:type="dxa"/>
            <w:vAlign w:val="center"/>
          </w:tcPr>
          <w:p>
            <w:pPr>
              <w:spacing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与客户业务负责人进行沟通：组织通过与客户签订合同的形式对交付后的活动进行规定；内容包括了：法律法规要求，交付后不合格的处理，产品的用途，顾客的要求等；</w:t>
            </w:r>
          </w:p>
          <w:p>
            <w:pPr>
              <w:spacing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暂无交付后违反法律法规要求、违法合同要求、严重客户投诉的情况，据负责人介绍如以后有会收到客户投诉通过邮件或者会议将信息传递给相关过程/部门。</w:t>
            </w:r>
          </w:p>
          <w:p>
            <w:pPr>
              <w:spacing w:line="360" w:lineRule="auto"/>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TW"/>
              </w:rPr>
              <w:t xml:space="preserve">   基本满足要求。</w:t>
            </w:r>
          </w:p>
        </w:tc>
        <w:tc>
          <w:tcPr>
            <w:tcW w:w="732"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2173" w:type="dxa"/>
            <w:vAlign w:val="top"/>
          </w:tcPr>
          <w:p>
            <w:pPr>
              <w:rPr>
                <w:rFonts w:hint="eastAsia" w:ascii="楷体" w:hAnsi="楷体" w:eastAsia="楷体" w:cs="宋体"/>
                <w:sz w:val="24"/>
                <w:szCs w:val="24"/>
              </w:rPr>
            </w:pPr>
          </w:p>
          <w:p>
            <w:pPr>
              <w:rPr>
                <w:rFonts w:ascii="楷体" w:hAnsi="楷体" w:eastAsia="楷体" w:cs="宋体"/>
                <w:sz w:val="24"/>
                <w:szCs w:val="24"/>
              </w:rPr>
            </w:pPr>
            <w:r>
              <w:rPr>
                <w:rFonts w:hint="eastAsia" w:ascii="楷体" w:hAnsi="楷体" w:eastAsia="楷体" w:cs="宋体"/>
                <w:sz w:val="24"/>
                <w:szCs w:val="24"/>
              </w:rPr>
              <w:t>更改的控制</w:t>
            </w:r>
          </w:p>
          <w:p>
            <w:pPr>
              <w:rPr>
                <w:rFonts w:hint="eastAsia" w:ascii="楷体" w:hAnsi="楷体" w:eastAsia="楷体" w:cs="宋体"/>
                <w:kern w:val="2"/>
                <w:sz w:val="24"/>
                <w:szCs w:val="24"/>
                <w:lang w:val="en-US" w:eastAsia="zh-CN" w:bidi="ar-SA"/>
              </w:rPr>
            </w:pPr>
          </w:p>
        </w:tc>
        <w:tc>
          <w:tcPr>
            <w:tcW w:w="965" w:type="dxa"/>
            <w:vAlign w:val="top"/>
          </w:tcPr>
          <w:p>
            <w:pPr>
              <w:rPr>
                <w:rFonts w:ascii="楷体" w:hAnsi="楷体" w:eastAsia="楷体" w:cs="宋体"/>
                <w:sz w:val="24"/>
                <w:szCs w:val="24"/>
              </w:rPr>
            </w:pPr>
          </w:p>
          <w:p>
            <w:pPr>
              <w:rPr>
                <w:rFonts w:hint="eastAsia" w:ascii="楷体" w:hAnsi="楷体" w:eastAsia="楷体" w:cs="宋体"/>
                <w:kern w:val="2"/>
                <w:sz w:val="24"/>
                <w:szCs w:val="24"/>
                <w:lang w:val="en-US" w:eastAsia="zh-CN" w:bidi="ar-SA"/>
              </w:rPr>
            </w:pPr>
            <w:r>
              <w:rPr>
                <w:rFonts w:ascii="楷体" w:hAnsi="楷体" w:eastAsia="楷体" w:cs="宋体"/>
                <w:sz w:val="24"/>
                <w:szCs w:val="24"/>
              </w:rPr>
              <w:t>Q8.5.6</w:t>
            </w:r>
          </w:p>
        </w:tc>
        <w:tc>
          <w:tcPr>
            <w:tcW w:w="10927" w:type="dxa"/>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对</w:t>
            </w:r>
            <w:r>
              <w:rPr>
                <w:rFonts w:hint="eastAsia" w:ascii="宋体" w:hAnsi="宋体" w:eastAsia="宋体" w:cs="宋体"/>
                <w:sz w:val="21"/>
                <w:szCs w:val="21"/>
                <w:lang w:val="en-US" w:eastAsia="zh-CN"/>
              </w:rPr>
              <w:t>检测</w:t>
            </w:r>
            <w:r>
              <w:rPr>
                <w:rFonts w:hint="eastAsia" w:ascii="宋体" w:hAnsi="宋体" w:eastAsia="宋体" w:cs="宋体"/>
                <w:sz w:val="21"/>
                <w:szCs w:val="21"/>
              </w:rPr>
              <w:t>服务提供的更改进行必要的评审和控制，以确保稳定的符合要求。</w:t>
            </w:r>
          </w:p>
          <w:p>
            <w:pPr>
              <w:spacing w:line="360" w:lineRule="auto"/>
              <w:rPr>
                <w:rFonts w:hint="eastAsia" w:ascii="宋体" w:hAnsi="宋体" w:eastAsia="宋体" w:cs="宋体"/>
                <w:sz w:val="21"/>
                <w:szCs w:val="21"/>
              </w:rPr>
            </w:pPr>
            <w:r>
              <w:rPr>
                <w:rFonts w:hint="eastAsia" w:ascii="宋体" w:hAnsi="宋体" w:eastAsia="宋体" w:cs="宋体"/>
                <w:sz w:val="21"/>
                <w:szCs w:val="21"/>
              </w:rPr>
              <w:t>组织保留形成文件的信息，包括有关更改评审结果、授权进行更改的人员以及根据评审所采取的必要措施。</w:t>
            </w:r>
          </w:p>
          <w:p>
            <w:pPr>
              <w:spacing w:line="360" w:lineRule="auto"/>
              <w:rPr>
                <w:rFonts w:hint="eastAsia" w:ascii="楷体" w:hAnsi="楷体" w:eastAsia="楷体" w:cs="宋体"/>
                <w:kern w:val="2"/>
                <w:sz w:val="24"/>
                <w:szCs w:val="24"/>
                <w:lang w:val="en-US" w:eastAsia="zh-CN" w:bidi="ar-SA"/>
              </w:rPr>
            </w:pPr>
            <w:r>
              <w:rPr>
                <w:rFonts w:hint="eastAsia" w:ascii="宋体" w:hAnsi="宋体" w:eastAsia="宋体" w:cs="宋体"/>
                <w:sz w:val="21"/>
                <w:szCs w:val="21"/>
              </w:rPr>
              <w:t>经询问，目前无</w:t>
            </w:r>
            <w:r>
              <w:rPr>
                <w:rFonts w:hint="eastAsia" w:ascii="宋体" w:hAnsi="宋体" w:eastAsia="宋体" w:cs="宋体"/>
                <w:sz w:val="21"/>
                <w:szCs w:val="21"/>
                <w:lang w:val="en-US" w:eastAsia="zh-CN"/>
              </w:rPr>
              <w:t>检测</w:t>
            </w:r>
            <w:r>
              <w:rPr>
                <w:rFonts w:hint="eastAsia" w:ascii="宋体" w:hAnsi="宋体" w:eastAsia="宋体" w:cs="宋体"/>
                <w:sz w:val="21"/>
                <w:szCs w:val="21"/>
              </w:rPr>
              <w:t>的变更。</w:t>
            </w:r>
          </w:p>
        </w:tc>
        <w:tc>
          <w:tcPr>
            <w:tcW w:w="732" w:type="dxa"/>
          </w:tcPr>
          <w:p>
            <w:pPr>
              <w:rPr>
                <w:rFonts w:hint="eastAsia" w:ascii="宋体" w:hAnsi="宋体" w:eastAsia="宋体" w:cs="宋体"/>
                <w:sz w:val="21"/>
                <w:szCs w:val="21"/>
              </w:rPr>
            </w:pPr>
          </w:p>
        </w:tc>
      </w:tr>
    </w:tbl>
    <w:p>
      <w:pPr>
        <w:pStyle w:val="12"/>
        <w:rPr>
          <w:rFonts w:hint="eastAsia"/>
        </w:rPr>
      </w:pPr>
      <w:r>
        <w:rPr>
          <w:rFonts w:hint="eastAsia"/>
        </w:rPr>
        <w:t>说明：不符合标注N</w:t>
      </w:r>
    </w:p>
    <w:p>
      <w:pPr>
        <w:rPr>
          <w:rFonts w:hint="eastAsia"/>
        </w:rPr>
      </w:pPr>
      <w:bookmarkStart w:id="0" w:name="_GoBack"/>
      <w:bookmarkEnd w:id="0"/>
    </w:p>
    <w:p>
      <w:pPr>
        <w:pStyle w:val="12"/>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0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12"/>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6" name="文本框 6"/>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kH4RNgAAAALAQAADwAAAAAAAAABACAAAAAiAAAAZHJzL2Rvd25yZXYu&#10;eG1sUEsBAhQAFAAAAAgAh07iQBAdB5rCAQAAdwMAAA4AAAAAAAAAAQAgAAAAJwEAAGRycy9lMm9E&#10;b2MueG1sUEsFBgAAAAAGAAYAWQEAAFsF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13"/>
      <w:pBdr>
        <w:bottom w:val="none" w:color="auto" w:sz="0" w:space="0"/>
      </w:pBdr>
      <w:spacing w:line="320" w:lineRule="exact"/>
      <w:ind w:firstLine="756" w:firstLineChars="400"/>
      <w:jc w:val="left"/>
    </w:pPr>
    <w:r>
      <w:rPr>
        <w:rStyle w:val="20"/>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0"/>
    <w:rsid w:val="0001713F"/>
    <w:rsid w:val="000259AC"/>
    <w:rsid w:val="000B7900"/>
    <w:rsid w:val="000D6436"/>
    <w:rsid w:val="001032CB"/>
    <w:rsid w:val="001538EB"/>
    <w:rsid w:val="001541DA"/>
    <w:rsid w:val="001A2755"/>
    <w:rsid w:val="001E2BA0"/>
    <w:rsid w:val="00297B6F"/>
    <w:rsid w:val="002D1F1C"/>
    <w:rsid w:val="00376607"/>
    <w:rsid w:val="003852FD"/>
    <w:rsid w:val="00411CE7"/>
    <w:rsid w:val="0044635D"/>
    <w:rsid w:val="00477697"/>
    <w:rsid w:val="004B16A6"/>
    <w:rsid w:val="004E08A4"/>
    <w:rsid w:val="00500C21"/>
    <w:rsid w:val="005E75BA"/>
    <w:rsid w:val="005F58CE"/>
    <w:rsid w:val="006350F0"/>
    <w:rsid w:val="0066443D"/>
    <w:rsid w:val="0068005C"/>
    <w:rsid w:val="006C3B64"/>
    <w:rsid w:val="006E7A70"/>
    <w:rsid w:val="00734419"/>
    <w:rsid w:val="007420C5"/>
    <w:rsid w:val="007536EE"/>
    <w:rsid w:val="007B1A3B"/>
    <w:rsid w:val="007F5845"/>
    <w:rsid w:val="00802252"/>
    <w:rsid w:val="00834B09"/>
    <w:rsid w:val="00893291"/>
    <w:rsid w:val="008E0C8E"/>
    <w:rsid w:val="008E45B6"/>
    <w:rsid w:val="0094266C"/>
    <w:rsid w:val="00954EA8"/>
    <w:rsid w:val="009B7866"/>
    <w:rsid w:val="009C3AF7"/>
    <w:rsid w:val="00A07938"/>
    <w:rsid w:val="00A3276E"/>
    <w:rsid w:val="00AA2D83"/>
    <w:rsid w:val="00AB7281"/>
    <w:rsid w:val="00B01EF6"/>
    <w:rsid w:val="00B325A1"/>
    <w:rsid w:val="00B33B39"/>
    <w:rsid w:val="00BB5BDD"/>
    <w:rsid w:val="00BB6546"/>
    <w:rsid w:val="00BE0E37"/>
    <w:rsid w:val="00BF540D"/>
    <w:rsid w:val="00C23315"/>
    <w:rsid w:val="00C343F0"/>
    <w:rsid w:val="00C45B28"/>
    <w:rsid w:val="00CB6525"/>
    <w:rsid w:val="00D5752A"/>
    <w:rsid w:val="00DD4B80"/>
    <w:rsid w:val="00E113F1"/>
    <w:rsid w:val="00E238F5"/>
    <w:rsid w:val="00E345F7"/>
    <w:rsid w:val="00E412FC"/>
    <w:rsid w:val="00E5540F"/>
    <w:rsid w:val="00EF3EBB"/>
    <w:rsid w:val="00F13AB9"/>
    <w:rsid w:val="00F60F0B"/>
    <w:rsid w:val="00F66D86"/>
    <w:rsid w:val="00F67463"/>
    <w:rsid w:val="00F922A5"/>
    <w:rsid w:val="00FB75CB"/>
    <w:rsid w:val="00FD12F5"/>
    <w:rsid w:val="00FD6519"/>
    <w:rsid w:val="01304109"/>
    <w:rsid w:val="02012E78"/>
    <w:rsid w:val="0297204E"/>
    <w:rsid w:val="02FD3C5D"/>
    <w:rsid w:val="0358271A"/>
    <w:rsid w:val="03705B95"/>
    <w:rsid w:val="03CD76A8"/>
    <w:rsid w:val="04892300"/>
    <w:rsid w:val="049145A4"/>
    <w:rsid w:val="04F3757C"/>
    <w:rsid w:val="05C27E71"/>
    <w:rsid w:val="05F821C1"/>
    <w:rsid w:val="067C699F"/>
    <w:rsid w:val="06BA30F2"/>
    <w:rsid w:val="06D465EC"/>
    <w:rsid w:val="070C3B78"/>
    <w:rsid w:val="07282C7E"/>
    <w:rsid w:val="075710FE"/>
    <w:rsid w:val="079D2EB9"/>
    <w:rsid w:val="07BB1345"/>
    <w:rsid w:val="07C902D0"/>
    <w:rsid w:val="07DB478B"/>
    <w:rsid w:val="0813265E"/>
    <w:rsid w:val="081947C2"/>
    <w:rsid w:val="08555398"/>
    <w:rsid w:val="08CE13B5"/>
    <w:rsid w:val="08DC34E6"/>
    <w:rsid w:val="08FD51C9"/>
    <w:rsid w:val="090E5D15"/>
    <w:rsid w:val="09565C32"/>
    <w:rsid w:val="09662CFB"/>
    <w:rsid w:val="098576D0"/>
    <w:rsid w:val="09A004A0"/>
    <w:rsid w:val="09D66353"/>
    <w:rsid w:val="0B2B1110"/>
    <w:rsid w:val="0BF742DF"/>
    <w:rsid w:val="0C440B6E"/>
    <w:rsid w:val="0DED2B38"/>
    <w:rsid w:val="0DEF2265"/>
    <w:rsid w:val="0E141628"/>
    <w:rsid w:val="0E330F57"/>
    <w:rsid w:val="0E55254D"/>
    <w:rsid w:val="0E55344A"/>
    <w:rsid w:val="0E6B3ADE"/>
    <w:rsid w:val="0E773D43"/>
    <w:rsid w:val="0E873F41"/>
    <w:rsid w:val="0EBB269B"/>
    <w:rsid w:val="0EF95615"/>
    <w:rsid w:val="0EFA2C7C"/>
    <w:rsid w:val="0F3C1D64"/>
    <w:rsid w:val="0F446BB8"/>
    <w:rsid w:val="0FEC77A2"/>
    <w:rsid w:val="103274FB"/>
    <w:rsid w:val="10807825"/>
    <w:rsid w:val="1093370C"/>
    <w:rsid w:val="10DC6F9C"/>
    <w:rsid w:val="10FC7069"/>
    <w:rsid w:val="10FE1E26"/>
    <w:rsid w:val="11191B99"/>
    <w:rsid w:val="11284673"/>
    <w:rsid w:val="11486339"/>
    <w:rsid w:val="115D0060"/>
    <w:rsid w:val="1178793D"/>
    <w:rsid w:val="121F5BBC"/>
    <w:rsid w:val="1220104F"/>
    <w:rsid w:val="128064A8"/>
    <w:rsid w:val="12C633EC"/>
    <w:rsid w:val="13484B18"/>
    <w:rsid w:val="13545603"/>
    <w:rsid w:val="13882863"/>
    <w:rsid w:val="13D021B5"/>
    <w:rsid w:val="13D35327"/>
    <w:rsid w:val="144C003C"/>
    <w:rsid w:val="145B4749"/>
    <w:rsid w:val="147139DD"/>
    <w:rsid w:val="14985001"/>
    <w:rsid w:val="150C08A1"/>
    <w:rsid w:val="15452B6C"/>
    <w:rsid w:val="15A57A90"/>
    <w:rsid w:val="15E2796E"/>
    <w:rsid w:val="16A34FB2"/>
    <w:rsid w:val="16F82FBD"/>
    <w:rsid w:val="17261E13"/>
    <w:rsid w:val="177652EA"/>
    <w:rsid w:val="18263A39"/>
    <w:rsid w:val="18284413"/>
    <w:rsid w:val="18537335"/>
    <w:rsid w:val="193C34F7"/>
    <w:rsid w:val="199425EB"/>
    <w:rsid w:val="19AE679E"/>
    <w:rsid w:val="1A837D2F"/>
    <w:rsid w:val="1B5846D6"/>
    <w:rsid w:val="1B7B258D"/>
    <w:rsid w:val="1B8074BF"/>
    <w:rsid w:val="1B84458B"/>
    <w:rsid w:val="1BB0762D"/>
    <w:rsid w:val="1BF85CDE"/>
    <w:rsid w:val="1C2D4A69"/>
    <w:rsid w:val="1C503D2C"/>
    <w:rsid w:val="1CD4402D"/>
    <w:rsid w:val="1D1E5216"/>
    <w:rsid w:val="1D495F45"/>
    <w:rsid w:val="1D57493F"/>
    <w:rsid w:val="1D5C6FE6"/>
    <w:rsid w:val="1D67708B"/>
    <w:rsid w:val="1E1B03CB"/>
    <w:rsid w:val="1E2406E8"/>
    <w:rsid w:val="1E52424C"/>
    <w:rsid w:val="1EBA7B7A"/>
    <w:rsid w:val="1F114306"/>
    <w:rsid w:val="20955F13"/>
    <w:rsid w:val="21043B97"/>
    <w:rsid w:val="21081BA7"/>
    <w:rsid w:val="21BB3B30"/>
    <w:rsid w:val="21F54A5D"/>
    <w:rsid w:val="22012740"/>
    <w:rsid w:val="22180E53"/>
    <w:rsid w:val="22237ABD"/>
    <w:rsid w:val="22A163D5"/>
    <w:rsid w:val="22AA599E"/>
    <w:rsid w:val="22AC427D"/>
    <w:rsid w:val="233D7329"/>
    <w:rsid w:val="23591F63"/>
    <w:rsid w:val="236B2397"/>
    <w:rsid w:val="23D22493"/>
    <w:rsid w:val="23E55F98"/>
    <w:rsid w:val="23F14D1A"/>
    <w:rsid w:val="249547D7"/>
    <w:rsid w:val="24C52E05"/>
    <w:rsid w:val="24E255E4"/>
    <w:rsid w:val="24E94F0B"/>
    <w:rsid w:val="2540656B"/>
    <w:rsid w:val="256D34C3"/>
    <w:rsid w:val="25846127"/>
    <w:rsid w:val="265550AC"/>
    <w:rsid w:val="26637E3F"/>
    <w:rsid w:val="26935ECE"/>
    <w:rsid w:val="269B487A"/>
    <w:rsid w:val="2707671E"/>
    <w:rsid w:val="276C6377"/>
    <w:rsid w:val="27A80535"/>
    <w:rsid w:val="27D31648"/>
    <w:rsid w:val="280D3DB5"/>
    <w:rsid w:val="286A2476"/>
    <w:rsid w:val="28A905C8"/>
    <w:rsid w:val="28C134B5"/>
    <w:rsid w:val="292F5FEC"/>
    <w:rsid w:val="293955D3"/>
    <w:rsid w:val="295A0EA6"/>
    <w:rsid w:val="297656A6"/>
    <w:rsid w:val="29C33C02"/>
    <w:rsid w:val="2A011C4C"/>
    <w:rsid w:val="2A3A3EC1"/>
    <w:rsid w:val="2A635B96"/>
    <w:rsid w:val="2A8F41A9"/>
    <w:rsid w:val="2ADB74D7"/>
    <w:rsid w:val="2B351060"/>
    <w:rsid w:val="2B7B4E18"/>
    <w:rsid w:val="2C3C70E9"/>
    <w:rsid w:val="2C6314AC"/>
    <w:rsid w:val="2C8144CD"/>
    <w:rsid w:val="2CF82669"/>
    <w:rsid w:val="2DA830D9"/>
    <w:rsid w:val="2DB43D9E"/>
    <w:rsid w:val="2DC2405E"/>
    <w:rsid w:val="2E221C49"/>
    <w:rsid w:val="2E9E735A"/>
    <w:rsid w:val="2EB43EF7"/>
    <w:rsid w:val="2F257D41"/>
    <w:rsid w:val="2FC36B68"/>
    <w:rsid w:val="30310A87"/>
    <w:rsid w:val="30560633"/>
    <w:rsid w:val="305E5180"/>
    <w:rsid w:val="30C72393"/>
    <w:rsid w:val="30E36CD9"/>
    <w:rsid w:val="31782699"/>
    <w:rsid w:val="31A310B3"/>
    <w:rsid w:val="31BE13FB"/>
    <w:rsid w:val="33035FB5"/>
    <w:rsid w:val="33563502"/>
    <w:rsid w:val="33964A07"/>
    <w:rsid w:val="33CA5B87"/>
    <w:rsid w:val="343247FF"/>
    <w:rsid w:val="348C1708"/>
    <w:rsid w:val="3498562E"/>
    <w:rsid w:val="34F506F2"/>
    <w:rsid w:val="35726166"/>
    <w:rsid w:val="357A31AD"/>
    <w:rsid w:val="359C114E"/>
    <w:rsid w:val="35B66F18"/>
    <w:rsid w:val="35BA606F"/>
    <w:rsid w:val="35F96CAA"/>
    <w:rsid w:val="360C5856"/>
    <w:rsid w:val="362D58B4"/>
    <w:rsid w:val="36861C2F"/>
    <w:rsid w:val="36A05FA1"/>
    <w:rsid w:val="36C84405"/>
    <w:rsid w:val="36E05C97"/>
    <w:rsid w:val="375A6BCB"/>
    <w:rsid w:val="38674CA1"/>
    <w:rsid w:val="38946726"/>
    <w:rsid w:val="38CF010C"/>
    <w:rsid w:val="38EF6639"/>
    <w:rsid w:val="38FA5B29"/>
    <w:rsid w:val="394A040F"/>
    <w:rsid w:val="39882D60"/>
    <w:rsid w:val="3A0C487C"/>
    <w:rsid w:val="3ABC3105"/>
    <w:rsid w:val="3B3F50A2"/>
    <w:rsid w:val="3B5D2A45"/>
    <w:rsid w:val="3B911005"/>
    <w:rsid w:val="3BE57209"/>
    <w:rsid w:val="3C440D19"/>
    <w:rsid w:val="3C504D4B"/>
    <w:rsid w:val="3C526738"/>
    <w:rsid w:val="3C903381"/>
    <w:rsid w:val="3C9E1151"/>
    <w:rsid w:val="3D242292"/>
    <w:rsid w:val="3D985635"/>
    <w:rsid w:val="3DE9530E"/>
    <w:rsid w:val="3E256747"/>
    <w:rsid w:val="3E660AD6"/>
    <w:rsid w:val="3EA14DEA"/>
    <w:rsid w:val="3EB403E8"/>
    <w:rsid w:val="3EB52881"/>
    <w:rsid w:val="3F266A30"/>
    <w:rsid w:val="3F6F23DD"/>
    <w:rsid w:val="3FCC3ADF"/>
    <w:rsid w:val="3FE576F8"/>
    <w:rsid w:val="400C55F1"/>
    <w:rsid w:val="40773153"/>
    <w:rsid w:val="407A23BB"/>
    <w:rsid w:val="409D4DC4"/>
    <w:rsid w:val="40A52144"/>
    <w:rsid w:val="414E41D7"/>
    <w:rsid w:val="418035D9"/>
    <w:rsid w:val="41BB1456"/>
    <w:rsid w:val="41E812B4"/>
    <w:rsid w:val="42282E97"/>
    <w:rsid w:val="42CA4E41"/>
    <w:rsid w:val="42CC38B0"/>
    <w:rsid w:val="42D074F7"/>
    <w:rsid w:val="42FC4513"/>
    <w:rsid w:val="43242FF3"/>
    <w:rsid w:val="43995A8F"/>
    <w:rsid w:val="43BF209B"/>
    <w:rsid w:val="440F1DC4"/>
    <w:rsid w:val="45066AE6"/>
    <w:rsid w:val="452208E6"/>
    <w:rsid w:val="453A481E"/>
    <w:rsid w:val="4580257A"/>
    <w:rsid w:val="458A7495"/>
    <w:rsid w:val="45D72591"/>
    <w:rsid w:val="45F57F6B"/>
    <w:rsid w:val="46561E53"/>
    <w:rsid w:val="46570418"/>
    <w:rsid w:val="46774F5A"/>
    <w:rsid w:val="46B21961"/>
    <w:rsid w:val="46B90406"/>
    <w:rsid w:val="46C930AA"/>
    <w:rsid w:val="46E701CA"/>
    <w:rsid w:val="472C5F99"/>
    <w:rsid w:val="4745758C"/>
    <w:rsid w:val="478E2F70"/>
    <w:rsid w:val="47972F66"/>
    <w:rsid w:val="47C17EA2"/>
    <w:rsid w:val="48491F8D"/>
    <w:rsid w:val="48850B8B"/>
    <w:rsid w:val="48905A36"/>
    <w:rsid w:val="48C37705"/>
    <w:rsid w:val="48F006B7"/>
    <w:rsid w:val="49423413"/>
    <w:rsid w:val="49424B1C"/>
    <w:rsid w:val="49E44855"/>
    <w:rsid w:val="4A43488C"/>
    <w:rsid w:val="4A551A01"/>
    <w:rsid w:val="4A730A2A"/>
    <w:rsid w:val="4A7B6415"/>
    <w:rsid w:val="4AFD070E"/>
    <w:rsid w:val="4B493B54"/>
    <w:rsid w:val="4BF90C50"/>
    <w:rsid w:val="4C0F4361"/>
    <w:rsid w:val="4C612065"/>
    <w:rsid w:val="4C85344D"/>
    <w:rsid w:val="4CC06AA5"/>
    <w:rsid w:val="4CC205DC"/>
    <w:rsid w:val="4CE01DB7"/>
    <w:rsid w:val="4CE16A70"/>
    <w:rsid w:val="4D0737A5"/>
    <w:rsid w:val="4D487502"/>
    <w:rsid w:val="4DD146CE"/>
    <w:rsid w:val="4E9845E6"/>
    <w:rsid w:val="4EB410AB"/>
    <w:rsid w:val="4EF40F32"/>
    <w:rsid w:val="4F0E76AD"/>
    <w:rsid w:val="4F355620"/>
    <w:rsid w:val="4F7B4A3A"/>
    <w:rsid w:val="4FD635DB"/>
    <w:rsid w:val="50AD135C"/>
    <w:rsid w:val="50EA1CDA"/>
    <w:rsid w:val="515537FE"/>
    <w:rsid w:val="51743E40"/>
    <w:rsid w:val="520244B9"/>
    <w:rsid w:val="52BB077C"/>
    <w:rsid w:val="52CD303A"/>
    <w:rsid w:val="52F732A5"/>
    <w:rsid w:val="530B3E0D"/>
    <w:rsid w:val="532204EF"/>
    <w:rsid w:val="534F35D0"/>
    <w:rsid w:val="538C3E49"/>
    <w:rsid w:val="53BD42D5"/>
    <w:rsid w:val="544F369E"/>
    <w:rsid w:val="54754936"/>
    <w:rsid w:val="54A01E6D"/>
    <w:rsid w:val="551C6A7C"/>
    <w:rsid w:val="554E2044"/>
    <w:rsid w:val="5563490B"/>
    <w:rsid w:val="55B673E8"/>
    <w:rsid w:val="55BB2B19"/>
    <w:rsid w:val="55D54B44"/>
    <w:rsid w:val="56123E84"/>
    <w:rsid w:val="56B2789F"/>
    <w:rsid w:val="56C8191F"/>
    <w:rsid w:val="56E5086E"/>
    <w:rsid w:val="570F6398"/>
    <w:rsid w:val="57297D57"/>
    <w:rsid w:val="576D7AB2"/>
    <w:rsid w:val="581B64FA"/>
    <w:rsid w:val="58831853"/>
    <w:rsid w:val="58D734BB"/>
    <w:rsid w:val="58DC5815"/>
    <w:rsid w:val="590A2D30"/>
    <w:rsid w:val="59837DDA"/>
    <w:rsid w:val="598840E7"/>
    <w:rsid w:val="59933E41"/>
    <w:rsid w:val="599806C3"/>
    <w:rsid w:val="59C86E83"/>
    <w:rsid w:val="5A264CB6"/>
    <w:rsid w:val="5A7F66C0"/>
    <w:rsid w:val="5AA56731"/>
    <w:rsid w:val="5B566DD5"/>
    <w:rsid w:val="5B5E5B95"/>
    <w:rsid w:val="5B6D261C"/>
    <w:rsid w:val="5BA92E00"/>
    <w:rsid w:val="5BB11B25"/>
    <w:rsid w:val="5BD056AC"/>
    <w:rsid w:val="5BE43EE2"/>
    <w:rsid w:val="5BEA2AB8"/>
    <w:rsid w:val="5C193B9E"/>
    <w:rsid w:val="5C3761DC"/>
    <w:rsid w:val="5C3B260D"/>
    <w:rsid w:val="5D75156A"/>
    <w:rsid w:val="5DBA6A41"/>
    <w:rsid w:val="5E95653E"/>
    <w:rsid w:val="5EE17D6C"/>
    <w:rsid w:val="5EEF52D7"/>
    <w:rsid w:val="5F03245D"/>
    <w:rsid w:val="5F085F6D"/>
    <w:rsid w:val="5F336DA5"/>
    <w:rsid w:val="5F382F8A"/>
    <w:rsid w:val="5F47341F"/>
    <w:rsid w:val="6008644D"/>
    <w:rsid w:val="60C24E7C"/>
    <w:rsid w:val="60CD5BAF"/>
    <w:rsid w:val="60F57DB5"/>
    <w:rsid w:val="610E3361"/>
    <w:rsid w:val="6133439E"/>
    <w:rsid w:val="617500C1"/>
    <w:rsid w:val="61BE26FF"/>
    <w:rsid w:val="61FE2979"/>
    <w:rsid w:val="6243600E"/>
    <w:rsid w:val="62BF5F83"/>
    <w:rsid w:val="632378C8"/>
    <w:rsid w:val="6366472B"/>
    <w:rsid w:val="636E339D"/>
    <w:rsid w:val="637C3F6C"/>
    <w:rsid w:val="63896AAB"/>
    <w:rsid w:val="63D23FCC"/>
    <w:rsid w:val="63F02D6E"/>
    <w:rsid w:val="63F7207D"/>
    <w:rsid w:val="6471711F"/>
    <w:rsid w:val="64866EAE"/>
    <w:rsid w:val="652546CA"/>
    <w:rsid w:val="655D66DC"/>
    <w:rsid w:val="65793194"/>
    <w:rsid w:val="6649052C"/>
    <w:rsid w:val="665E7B8A"/>
    <w:rsid w:val="66AD5CCF"/>
    <w:rsid w:val="6736736E"/>
    <w:rsid w:val="67A20389"/>
    <w:rsid w:val="67BA0B35"/>
    <w:rsid w:val="67F977CC"/>
    <w:rsid w:val="68005BDA"/>
    <w:rsid w:val="687D5258"/>
    <w:rsid w:val="688144D0"/>
    <w:rsid w:val="689A1B70"/>
    <w:rsid w:val="68D6011F"/>
    <w:rsid w:val="68E15D72"/>
    <w:rsid w:val="697A2F27"/>
    <w:rsid w:val="697F13C6"/>
    <w:rsid w:val="69DF2FA3"/>
    <w:rsid w:val="6A03260D"/>
    <w:rsid w:val="6A337D7F"/>
    <w:rsid w:val="6AAE248D"/>
    <w:rsid w:val="6AD922B1"/>
    <w:rsid w:val="6B344F15"/>
    <w:rsid w:val="6B496264"/>
    <w:rsid w:val="6B4B57AD"/>
    <w:rsid w:val="6B59252A"/>
    <w:rsid w:val="6B772B53"/>
    <w:rsid w:val="6B9B70E9"/>
    <w:rsid w:val="6BEB0C6B"/>
    <w:rsid w:val="6C410583"/>
    <w:rsid w:val="6C5517F8"/>
    <w:rsid w:val="6C9E1ECB"/>
    <w:rsid w:val="6CDA5CC1"/>
    <w:rsid w:val="6D3946F3"/>
    <w:rsid w:val="6D517C23"/>
    <w:rsid w:val="6E973995"/>
    <w:rsid w:val="6EA4331F"/>
    <w:rsid w:val="6EF073AE"/>
    <w:rsid w:val="6F5C5F71"/>
    <w:rsid w:val="6FD13025"/>
    <w:rsid w:val="70646E95"/>
    <w:rsid w:val="709F213C"/>
    <w:rsid w:val="711018A1"/>
    <w:rsid w:val="711A7770"/>
    <w:rsid w:val="713C1464"/>
    <w:rsid w:val="71593975"/>
    <w:rsid w:val="715C7359"/>
    <w:rsid w:val="7165529B"/>
    <w:rsid w:val="717A1220"/>
    <w:rsid w:val="71E10BA9"/>
    <w:rsid w:val="722D4520"/>
    <w:rsid w:val="725C175D"/>
    <w:rsid w:val="726445A8"/>
    <w:rsid w:val="727C16FF"/>
    <w:rsid w:val="729047C5"/>
    <w:rsid w:val="72BB440D"/>
    <w:rsid w:val="72F17470"/>
    <w:rsid w:val="73395629"/>
    <w:rsid w:val="738D0226"/>
    <w:rsid w:val="738E3EC2"/>
    <w:rsid w:val="73A8345B"/>
    <w:rsid w:val="73BC143A"/>
    <w:rsid w:val="73BD4784"/>
    <w:rsid w:val="74942064"/>
    <w:rsid w:val="749A13DF"/>
    <w:rsid w:val="74D96F99"/>
    <w:rsid w:val="755B0C90"/>
    <w:rsid w:val="75B31D86"/>
    <w:rsid w:val="761F1329"/>
    <w:rsid w:val="762B5068"/>
    <w:rsid w:val="768B1820"/>
    <w:rsid w:val="76986104"/>
    <w:rsid w:val="77096523"/>
    <w:rsid w:val="773639AE"/>
    <w:rsid w:val="777059BB"/>
    <w:rsid w:val="77810AA3"/>
    <w:rsid w:val="77940E28"/>
    <w:rsid w:val="77CB5783"/>
    <w:rsid w:val="77E7719B"/>
    <w:rsid w:val="78123771"/>
    <w:rsid w:val="784F5A1A"/>
    <w:rsid w:val="78795B26"/>
    <w:rsid w:val="78D30337"/>
    <w:rsid w:val="796214DF"/>
    <w:rsid w:val="79666F56"/>
    <w:rsid w:val="79717A20"/>
    <w:rsid w:val="79A448B7"/>
    <w:rsid w:val="7B047F98"/>
    <w:rsid w:val="7B0D51FF"/>
    <w:rsid w:val="7B102793"/>
    <w:rsid w:val="7B3A4A90"/>
    <w:rsid w:val="7B45491C"/>
    <w:rsid w:val="7BA7005A"/>
    <w:rsid w:val="7BDF7651"/>
    <w:rsid w:val="7C0C6300"/>
    <w:rsid w:val="7C3F7DA6"/>
    <w:rsid w:val="7C592391"/>
    <w:rsid w:val="7C8479B1"/>
    <w:rsid w:val="7D2B26D3"/>
    <w:rsid w:val="7D2D4FAC"/>
    <w:rsid w:val="7D2D53B2"/>
    <w:rsid w:val="7DAA55FB"/>
    <w:rsid w:val="7DF43AFE"/>
    <w:rsid w:val="7DF753B5"/>
    <w:rsid w:val="7E355215"/>
    <w:rsid w:val="7E505001"/>
    <w:rsid w:val="7E9A65DB"/>
    <w:rsid w:val="7EE31489"/>
    <w:rsid w:val="7EEB3EAF"/>
    <w:rsid w:val="7F333E41"/>
    <w:rsid w:val="7FFB74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2"/>
    <w:basedOn w:val="1"/>
    <w:next w:val="7"/>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line="420" w:lineRule="exact"/>
    </w:pPr>
    <w:rPr>
      <w:sz w:val="24"/>
    </w:rPr>
  </w:style>
  <w:style w:type="paragraph" w:customStyle="1" w:styleId="3">
    <w:name w:val="一级条标题"/>
    <w:basedOn w:val="4"/>
    <w:next w:val="5"/>
    <w:qFormat/>
    <w:uiPriority w:val="0"/>
    <w:pPr>
      <w:spacing w:line="240" w:lineRule="auto"/>
      <w:ind w:left="420"/>
      <w:outlineLvl w:val="2"/>
    </w:pPr>
  </w:style>
  <w:style w:type="paragraph" w:customStyle="1" w:styleId="4">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5">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7">
    <w:name w:val="Normal Indent"/>
    <w:basedOn w:val="1"/>
    <w:qFormat/>
    <w:uiPriority w:val="0"/>
    <w:pPr>
      <w:adjustRightInd w:val="0"/>
      <w:spacing w:line="360" w:lineRule="atLeast"/>
      <w:ind w:left="480"/>
      <w:textAlignment w:val="baseline"/>
    </w:pPr>
    <w:rPr>
      <w:kern w:val="0"/>
    </w:rPr>
  </w:style>
  <w:style w:type="paragraph" w:styleId="8">
    <w:name w:val="Body Text Indent"/>
    <w:basedOn w:val="1"/>
    <w:next w:val="9"/>
    <w:link w:val="23"/>
    <w:qFormat/>
    <w:uiPriority w:val="0"/>
    <w:pPr>
      <w:ind w:left="360"/>
    </w:pPr>
    <w:rPr>
      <w:rFonts w:ascii="宋体"/>
      <w:sz w:val="20"/>
    </w:rPr>
  </w:style>
  <w:style w:type="paragraph" w:styleId="9">
    <w:name w:val="envelope return"/>
    <w:basedOn w:val="1"/>
    <w:qFormat/>
    <w:uiPriority w:val="0"/>
    <w:pPr>
      <w:snapToGrid w:val="0"/>
    </w:pPr>
    <w:rPr>
      <w:rFonts w:ascii="Arial" w:hAnsi="Arial"/>
    </w:rPr>
  </w:style>
  <w:style w:type="paragraph" w:styleId="10">
    <w:name w:val="Plain Text"/>
    <w:basedOn w:val="1"/>
    <w:qFormat/>
    <w:uiPriority w:val="0"/>
    <w:rPr>
      <w:rFonts w:ascii="宋体" w:hAnsi="Courier New" w:cs="Courier New"/>
      <w:szCs w:val="21"/>
    </w:rPr>
  </w:style>
  <w:style w:type="paragraph" w:styleId="11">
    <w:name w:val="Balloon Text"/>
    <w:basedOn w:val="1"/>
    <w:link w:val="19"/>
    <w:semiHidden/>
    <w:unhideWhenUsed/>
    <w:qFormat/>
    <w:uiPriority w:val="99"/>
    <w:rPr>
      <w:sz w:val="18"/>
      <w:szCs w:val="18"/>
    </w:rPr>
  </w:style>
  <w:style w:type="paragraph" w:styleId="12">
    <w:name w:val="footer"/>
    <w:basedOn w:val="1"/>
    <w:link w:val="18"/>
    <w:unhideWhenUsed/>
    <w:qFormat/>
    <w:uiPriority w:val="99"/>
    <w:pPr>
      <w:tabs>
        <w:tab w:val="center" w:pos="4153"/>
        <w:tab w:val="right" w:pos="8306"/>
      </w:tabs>
      <w:snapToGrid w:val="0"/>
      <w:jc w:val="left"/>
    </w:pPr>
    <w:rPr>
      <w:sz w:val="18"/>
      <w:szCs w:val="18"/>
    </w:rPr>
  </w:style>
  <w:style w:type="paragraph" w:styleId="13">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First Indent 2"/>
    <w:basedOn w:val="8"/>
    <w:qFormat/>
    <w:uiPriority w:val="0"/>
    <w:pPr>
      <w:ind w:left="420" w:firstLine="420" w:firstLineChars="200"/>
    </w:pPr>
  </w:style>
  <w:style w:type="character" w:customStyle="1" w:styleId="17">
    <w:name w:val="页眉 字符"/>
    <w:basedOn w:val="16"/>
    <w:link w:val="13"/>
    <w:qFormat/>
    <w:uiPriority w:val="99"/>
    <w:rPr>
      <w:rFonts w:ascii="Times New Roman" w:hAnsi="Times New Roman" w:eastAsia="宋体" w:cs="Times New Roman"/>
      <w:sz w:val="18"/>
      <w:szCs w:val="18"/>
    </w:rPr>
  </w:style>
  <w:style w:type="character" w:customStyle="1" w:styleId="18">
    <w:name w:val="页脚 字符"/>
    <w:basedOn w:val="16"/>
    <w:link w:val="12"/>
    <w:qFormat/>
    <w:uiPriority w:val="99"/>
    <w:rPr>
      <w:rFonts w:ascii="Times New Roman" w:hAnsi="Times New Roman" w:eastAsia="宋体" w:cs="Times New Roman"/>
      <w:sz w:val="18"/>
      <w:szCs w:val="18"/>
    </w:rPr>
  </w:style>
  <w:style w:type="character" w:customStyle="1" w:styleId="19">
    <w:name w:val="批注框文本 字符"/>
    <w:basedOn w:val="16"/>
    <w:link w:val="11"/>
    <w:semiHidden/>
    <w:qFormat/>
    <w:uiPriority w:val="99"/>
    <w:rPr>
      <w:rFonts w:ascii="Times New Roman" w:hAnsi="Times New Roman" w:eastAsia="宋体" w:cs="Times New Roman"/>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_Style 2"/>
    <w:basedOn w:val="1"/>
    <w:qFormat/>
    <w:uiPriority w:val="34"/>
    <w:pPr>
      <w:ind w:firstLine="420" w:firstLineChars="200"/>
    </w:pPr>
    <w:rPr>
      <w:rFonts w:ascii="Calibri" w:hAnsi="Calibri"/>
      <w:sz w:val="24"/>
      <w:szCs w:val="22"/>
    </w:rPr>
  </w:style>
  <w:style w:type="paragraph" w:customStyle="1" w:styleId="22">
    <w:name w:val="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23">
    <w:name w:val="正文文本缩进 字符"/>
    <w:basedOn w:val="16"/>
    <w:link w:val="8"/>
    <w:qFormat/>
    <w:uiPriority w:val="0"/>
    <w:rPr>
      <w:rFonts w:ascii="宋体" w:hAnsi="Times New Roman" w:eastAsia="宋体" w:cs="Times New Roman"/>
      <w:kern w:val="2"/>
    </w:rPr>
  </w:style>
  <w:style w:type="paragraph" w:styleId="24">
    <w:name w:val="List Paragraph"/>
    <w:basedOn w:val="1"/>
    <w:qFormat/>
    <w:uiPriority w:val="99"/>
    <w:pPr>
      <w:ind w:firstLine="420" w:firstLineChars="200"/>
    </w:pPr>
  </w:style>
  <w:style w:type="paragraph" w:customStyle="1" w:styleId="25">
    <w:name w:val="表格文字"/>
    <w:basedOn w:val="1"/>
    <w:qFormat/>
    <w:uiPriority w:val="99"/>
    <w:pPr>
      <w:spacing w:before="25" w:after="25"/>
    </w:pPr>
    <w:rPr>
      <w:bCs/>
      <w:spacing w:val="10"/>
    </w:r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4416</Words>
  <Characters>4992</Characters>
  <Lines>34</Lines>
  <Paragraphs>9</Paragraphs>
  <TotalTime>0</TotalTime>
  <ScaleCrop>false</ScaleCrop>
  <LinksUpToDate>false</LinksUpToDate>
  <CharactersWithSpaces>5085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2020-10-03T03:40:00Z</dcterms:created>
  <dc:creator>微软用户</dc:creator>
  <cp:lastModifiedBy>强子</cp:lastModifiedBy>
  <dcterms:modified xsi:type="dcterms:W3CDTF">2022-03-12T09:05:43Z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2A715842AAF648ADBE5B86BBA0DA5B8B</vt:lpwstr>
  </property>
</Properties>
</file>