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过程与活动、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受审核部门：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市场开发部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主管领导：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李耀宗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陪同人员：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张娟娟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审核时间：20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5" w:type="dxa"/>
            <w:vMerge w:val="continue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；8.5.2；8.5.3；8.5.4；8.5.5；9.1.2</w:t>
            </w:r>
          </w:p>
        </w:tc>
        <w:tc>
          <w:tcPr>
            <w:tcW w:w="1585" w:type="dxa"/>
            <w:vMerge w:val="continue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8.5.1</w:t>
            </w: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市场开发部根据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需求，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购买需要的设备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，明确合同要求，在合同正式签定之前，进行合同评审，填写《合同评审记录》。签定合同之后，依据合同要求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制定《采购计划》实施采购。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查见该公司的《采购控制程序》、《销售和提供控制程序》等管理、作业及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文件对服务提供过程进行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公司。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现场查看营销工作情况：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1.下发的作业文件随手可得。规范规定了服务提供特性和验收标准，合同的洽商、评定和签订，售后服务保证，客户投诉的处置以及销售人员的产品知识业务能力的要求。文件可以指导销售过程的进行。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2.资源配置齐备，设施设备可以满足要求。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eastAsia="宋体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3查看销售合同都进行了评审</w:t>
            </w:r>
            <w:r>
              <w:rPr>
                <w:rFonts w:hint="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4.提供有产品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记录表、发货单、产品合格证</w:t>
            </w:r>
            <w:r>
              <w:rPr>
                <w:rFonts w:hint="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5.管理人员以及业务员、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检定校准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员、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员都经过了培训，能力满足要求，无特种作业人员。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.制定了销售管理制度、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搬运管理制度、仓库管理制度等，规定了操作的步骤、方法、注意事项等，操作人员直接按要求进行控制，防止人为错误。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.抽查“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工作监督表”，20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日对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郭牧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进行的工作监督，项目包括对价格了解情况，对性能了解情况，接听电话礼仪，对文件了解情况等，满分100分，检查评分9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分，检查人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孟宏伟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．所有的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计量设备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都必须经检验合格后方可入库和交付。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专业计量室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计量设备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的检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校准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和放行，产品经过检验合格后方可放行和交付，市场开发部负责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计量设备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交付和交付后活动的实施，并负责联系售后服务。由</w:t>
            </w:r>
            <w:r>
              <w:rPr>
                <w:rFonts w:hint="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市场开发部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开具发货单(一式三份,留存一联、财务一联、客户一联)，随货同行有产品合格证，公司负责联系货运交付到指定地点，经查出库、交付手续齐全。售后服务由</w:t>
            </w:r>
            <w:r>
              <w:rPr>
                <w:rFonts w:hint="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市场开发部</w:t>
            </w: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业务员按照售后服务规范执行</w:t>
            </w:r>
            <w:r>
              <w:rPr>
                <w:rFonts w:hint="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85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产品标识和可追朔性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Arial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Q8.5.2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315" w:firstLineChars="1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在《管理手册》中规定公司向顾客提供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检测报告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时采取适当措施，确保商品进入经营场所到销售过程中均被明确标识，对产品施加唯一性标识，如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计量器具名称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、编号、日期，并予以登记，保留实现可追溯性所需的记录。产品通常保留厂家标签、合格证等方式对产品进行标识，产品附有“合格证”有产品名称、型号、日期、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人员代号等信息，可作为追溯性标识，同时可根据采购合同、销售合同，入厂检验记录等进行追溯。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经现场查验标识齐全、清晰、正确，产品标识管理基本符合标准要求，并满足实际需要。</w:t>
            </w:r>
          </w:p>
        </w:tc>
        <w:tc>
          <w:tcPr>
            <w:tcW w:w="1585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顾客或外供方财产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ascii="楷体" w:hAnsi="楷体" w:eastAsia="楷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Q8.5.3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顾客或外部供方的财产包括：资质证明文件（如营业执照和其它资质文件）、银行账号、联系方式、经营地址及档案资料等信息，由部门专门人员负责管理，分类登记放置。未发生损坏丢失、泄密等现象。</w:t>
            </w:r>
          </w:p>
        </w:tc>
        <w:tc>
          <w:tcPr>
            <w:tcW w:w="1585" w:type="dxa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产品防护</w:t>
            </w:r>
          </w:p>
        </w:tc>
        <w:tc>
          <w:tcPr>
            <w:tcW w:w="960" w:type="dxa"/>
            <w:vAlign w:val="top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Q8.5.4 </w:t>
            </w:r>
          </w:p>
        </w:tc>
        <w:tc>
          <w:tcPr>
            <w:tcW w:w="10004" w:type="dxa"/>
            <w:vAlign w:val="top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公司对产品搬运、包装、贮存、运输以及交付等过程的防护实施控制：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1、搬运：配置适宜的搬运工具，采用合理的搬运方法，对易损、危险物品制定专门的搬运指导书，搬运人员按要求执行，做好产品防护，防止丢失和损坏。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2、包装：包装人员核对产品合格证，保持产品外观清洁、完整，按装箱单核对装箱产品，包装后进行正确标识。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3、贮存：规范仓库管理，保持安全适宜的贮存环境，先进先出，建立台账，定期盘点，经常查看库存物品。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4、运输：用防震材料添紧，避免相互碰撞造成破损，对运输供方进行合格评定，签订运输合同，保证产品运输质量，并对运输质量进行记录，跟踪监督。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5、交付：产品交付防护延续到交付的目的地。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公司自体系运行以来，未发生由于产品防护不当导致产品质量事故的情况，防护措施能够满足要求。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现场产品防护能够按照策划的要求实施，满足策划的要求。</w:t>
            </w:r>
          </w:p>
        </w:tc>
        <w:tc>
          <w:tcPr>
            <w:tcW w:w="1585" w:type="dxa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服务交付后的活动</w:t>
            </w:r>
          </w:p>
        </w:tc>
        <w:tc>
          <w:tcPr>
            <w:tcW w:w="960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Q8.5.5</w:t>
            </w:r>
          </w:p>
        </w:tc>
        <w:tc>
          <w:tcPr>
            <w:tcW w:w="10004" w:type="dxa"/>
            <w:vAlign w:val="center"/>
          </w:tcPr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智能设备、工业设备、机电产品、电子产品、仪器仪表的计量检测、销售；计量仪器仪表的维修及技术服务；产业计量、环保节能技术软件的研发</w:t>
            </w:r>
            <w:r>
              <w:rPr>
                <w:rFonts w:hint="eastAsia" w:ascii="宋体" w:hAnsi="宋体" w:eastAsia="宋体" w:cs="宋体"/>
                <w:szCs w:val="21"/>
              </w:rPr>
              <w:t>会继续做好客户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反馈</w:t>
            </w:r>
            <w:r>
              <w:rPr>
                <w:rFonts w:hint="eastAsia" w:ascii="宋体" w:hAnsi="宋体" w:eastAsia="宋体" w:cs="宋体"/>
                <w:szCs w:val="21"/>
              </w:rPr>
              <w:t>信息的处置，按照信息沟通程序等做好沟通。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截止目前没有发生交付后客户投诉的情况。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市场开发部</w:t>
            </w:r>
            <w:r>
              <w:rPr>
                <w:rFonts w:hint="eastAsia" w:ascii="宋体" w:hAnsi="宋体" w:eastAsia="宋体" w:cs="宋体"/>
                <w:szCs w:val="21"/>
              </w:rPr>
              <w:t>表示，对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</w:rPr>
              <w:t>人员等会通过教育培训，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对计量服务人员</w:t>
            </w:r>
            <w:r>
              <w:rPr>
                <w:rFonts w:hint="eastAsia" w:ascii="宋体" w:hAnsi="宋体" w:eastAsia="宋体" w:cs="宋体"/>
                <w:szCs w:val="21"/>
              </w:rPr>
              <w:t>提供安全防护（防护手套、工作靴）等方式进行防护。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服务完成后，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市场开发部</w:t>
            </w:r>
            <w:r>
              <w:rPr>
                <w:rFonts w:hint="eastAsia" w:ascii="宋体" w:hAnsi="宋体" w:eastAsia="宋体" w:cs="宋体"/>
                <w:szCs w:val="21"/>
              </w:rPr>
              <w:t>主要做好客户信息的处置，按照信息沟通程序等做好沟通。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截止目前没有发生交付后客户投诉的情况。</w:t>
            </w:r>
          </w:p>
        </w:tc>
        <w:tc>
          <w:tcPr>
            <w:tcW w:w="1585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顾客满意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Q9.1.2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公司已建立和保持了《顾客满意度测量控制程序》，对顾客满意的监测的相关内容进行了规定，其包括了对调查方式、渠道、内容、频率等。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公司采取对主要顾客进行满意度调查的形式，发出《客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满意度调查表》，有效回收：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西安兴航航空制造有限公司、西安华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特电器有限公司。陕西维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特测控仪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有限公司、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石油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职工医院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，调查内容有：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项目审查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服务态度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服务质量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沟通理解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等，查《顾客满意程度调查表》，客户评价均是非常满意。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提供《顾客满意度统计分析表》，顾客满意率达到9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%，达到了质量目标的要求。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调查未发现有顾客投诉。</w:t>
            </w:r>
          </w:p>
        </w:tc>
        <w:tc>
          <w:tcPr>
            <w:tcW w:w="1585" w:type="dxa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  <w:t>Y</w:t>
            </w:r>
          </w:p>
        </w:tc>
      </w:tr>
    </w:tbl>
    <w:p/>
    <w:p>
      <w:pPr>
        <w:pStyle w:val="10"/>
      </w:pPr>
      <w:r>
        <w:rPr>
          <w:rFonts w:hint="eastAsia"/>
        </w:rPr>
        <w:t>说明：不符合标注N</w:t>
      </w:r>
    </w:p>
    <w:p>
      <w:pPr>
        <w:pStyle w:val="1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8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EB0HmsIBAAB3AwAADgAAAGRycy9lMm9Eb2MueG1srVNB&#10;btswELwX6B8I3mspbmI0guUAqeFeirZA2gfQFCURILnEkrbkD7Q/6KmX3vsuv6NLynHS9JJDdJDI&#10;3dnhziy1vBmtYXuFQYOr+cWs5Ew5CY12Xc2/fd28ecdZiMI1woBTNT+owG9Wr18tB1+pOfRgGoWM&#10;SFyoBl/zPkZfFUWQvbIizMArR8kW0IpIW+yKBsVA7NYU87JcFANg4xGkCoGi6ynJT4z4HEJoWy3V&#10;GuTOKhcnVlRGRJIUeu0DX+Vu21bJ+Lltg4rM1JyUxvymQ2i9Te9itRRVh8L3Wp5aEM9p4YkmK7Sj&#10;Q89UaxEF26H+j8pqiRCgjTMJtpiEZEdIxUX5xJu7XniVtZDVwZ9NDy9HKz/tvyDTTc0XnDlhaeDH&#10;nz+Ov/4cf39ni2TP4ENFqDtPuDjewkiX5j4eKJhUjy3a9CU9jPJk7uFsrhojk6nobXk5v6aUpNz8&#10;anF1md0vHqo9hvhBgWVpUXOk4WVPxf5jiNQJQe8h6bAARjcbbUzeYLd9b5DtBQ16k5/UJJX8AzMu&#10;gR2ksimdIkXSOGlJqzhux5PwLTQH0r3zqLueesrKM5zmkelPdycN/PE+kz78L6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kH4RNgAAAALAQAADwAAAAAAAAABACAAAAAiAAAAZHJzL2Rvd25yZXYu&#10;eG1sUEsBAhQAFAAAAAgAh07iQBAdB5r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8"/>
        <w:rFonts w:hint="default"/>
      </w:rPr>
      <w:t>北京国标联合认证有限公司</w:t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</w:p>
  <w:p>
    <w:pPr>
      <w:pStyle w:val="11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8"/>
        <w:rFonts w:hint="default"/>
        <w:w w:val="90"/>
      </w:rPr>
      <w:t>Beijing International Standard united Certification Co.,Ltd.</w:t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0"/>
    <w:rsid w:val="0001713F"/>
    <w:rsid w:val="000259AC"/>
    <w:rsid w:val="000B7900"/>
    <w:rsid w:val="000D6436"/>
    <w:rsid w:val="001032CB"/>
    <w:rsid w:val="001538EB"/>
    <w:rsid w:val="001541DA"/>
    <w:rsid w:val="001A2755"/>
    <w:rsid w:val="001E2BA0"/>
    <w:rsid w:val="002D1F1C"/>
    <w:rsid w:val="00376607"/>
    <w:rsid w:val="003852FD"/>
    <w:rsid w:val="00411CE7"/>
    <w:rsid w:val="0044635D"/>
    <w:rsid w:val="00477697"/>
    <w:rsid w:val="004B16A6"/>
    <w:rsid w:val="004E08A4"/>
    <w:rsid w:val="00500C21"/>
    <w:rsid w:val="005E51DA"/>
    <w:rsid w:val="005F58CE"/>
    <w:rsid w:val="006350F0"/>
    <w:rsid w:val="0066443D"/>
    <w:rsid w:val="0068005C"/>
    <w:rsid w:val="006C3B64"/>
    <w:rsid w:val="006E7A70"/>
    <w:rsid w:val="007420C5"/>
    <w:rsid w:val="007536EE"/>
    <w:rsid w:val="007B1A3B"/>
    <w:rsid w:val="007F5845"/>
    <w:rsid w:val="00802252"/>
    <w:rsid w:val="00834B09"/>
    <w:rsid w:val="00893291"/>
    <w:rsid w:val="008E0C8E"/>
    <w:rsid w:val="008E45B6"/>
    <w:rsid w:val="0094266C"/>
    <w:rsid w:val="00954EA8"/>
    <w:rsid w:val="009B7866"/>
    <w:rsid w:val="009C3AF7"/>
    <w:rsid w:val="00A07938"/>
    <w:rsid w:val="00A3276E"/>
    <w:rsid w:val="00AA2D83"/>
    <w:rsid w:val="00AB7281"/>
    <w:rsid w:val="00B01EF6"/>
    <w:rsid w:val="00B325A1"/>
    <w:rsid w:val="00BB5BDD"/>
    <w:rsid w:val="00BB6546"/>
    <w:rsid w:val="00BE0E37"/>
    <w:rsid w:val="00BF540D"/>
    <w:rsid w:val="00C23315"/>
    <w:rsid w:val="00C343F0"/>
    <w:rsid w:val="00CB6525"/>
    <w:rsid w:val="00D5752A"/>
    <w:rsid w:val="00DD4B80"/>
    <w:rsid w:val="00E113F1"/>
    <w:rsid w:val="00E238F5"/>
    <w:rsid w:val="00E345F7"/>
    <w:rsid w:val="00E412FC"/>
    <w:rsid w:val="00E5540F"/>
    <w:rsid w:val="00EA5F93"/>
    <w:rsid w:val="00EF3EBB"/>
    <w:rsid w:val="00F13AB9"/>
    <w:rsid w:val="00F66D86"/>
    <w:rsid w:val="00F67463"/>
    <w:rsid w:val="00F922A5"/>
    <w:rsid w:val="00FB75CB"/>
    <w:rsid w:val="00FD12F5"/>
    <w:rsid w:val="00FD6519"/>
    <w:rsid w:val="01AE0794"/>
    <w:rsid w:val="03026357"/>
    <w:rsid w:val="045B4895"/>
    <w:rsid w:val="04963E1F"/>
    <w:rsid w:val="04E0227F"/>
    <w:rsid w:val="05DC67F3"/>
    <w:rsid w:val="064B576B"/>
    <w:rsid w:val="066A52E1"/>
    <w:rsid w:val="06A70311"/>
    <w:rsid w:val="07071325"/>
    <w:rsid w:val="07CD28F3"/>
    <w:rsid w:val="07F43C4A"/>
    <w:rsid w:val="0937190D"/>
    <w:rsid w:val="096F43FE"/>
    <w:rsid w:val="09A62AA4"/>
    <w:rsid w:val="09F05A95"/>
    <w:rsid w:val="0A4D7E01"/>
    <w:rsid w:val="0ABE3E19"/>
    <w:rsid w:val="0B2456A1"/>
    <w:rsid w:val="0D2E0465"/>
    <w:rsid w:val="0D892380"/>
    <w:rsid w:val="0EA7001F"/>
    <w:rsid w:val="100862E1"/>
    <w:rsid w:val="10C02EF3"/>
    <w:rsid w:val="10FF34E9"/>
    <w:rsid w:val="119A6E74"/>
    <w:rsid w:val="11A16C06"/>
    <w:rsid w:val="11EE1116"/>
    <w:rsid w:val="11F74BE6"/>
    <w:rsid w:val="12AB025C"/>
    <w:rsid w:val="13175849"/>
    <w:rsid w:val="13AD15CE"/>
    <w:rsid w:val="140E64FD"/>
    <w:rsid w:val="141E15F7"/>
    <w:rsid w:val="14460C11"/>
    <w:rsid w:val="15296097"/>
    <w:rsid w:val="15CB40D6"/>
    <w:rsid w:val="169366B0"/>
    <w:rsid w:val="175956CC"/>
    <w:rsid w:val="176A68CC"/>
    <w:rsid w:val="18170ED9"/>
    <w:rsid w:val="182E0907"/>
    <w:rsid w:val="196355F1"/>
    <w:rsid w:val="19B12C49"/>
    <w:rsid w:val="19D94788"/>
    <w:rsid w:val="1BF2082C"/>
    <w:rsid w:val="1DDF39F3"/>
    <w:rsid w:val="1DF56417"/>
    <w:rsid w:val="1E362801"/>
    <w:rsid w:val="1F906D4E"/>
    <w:rsid w:val="20591B3B"/>
    <w:rsid w:val="20892F43"/>
    <w:rsid w:val="212A4823"/>
    <w:rsid w:val="218B3026"/>
    <w:rsid w:val="21FF454E"/>
    <w:rsid w:val="22906815"/>
    <w:rsid w:val="229B7AE6"/>
    <w:rsid w:val="237F0888"/>
    <w:rsid w:val="249D75E1"/>
    <w:rsid w:val="24FD57A9"/>
    <w:rsid w:val="2543337E"/>
    <w:rsid w:val="255A159D"/>
    <w:rsid w:val="258A31AA"/>
    <w:rsid w:val="25B20D94"/>
    <w:rsid w:val="264C6A8A"/>
    <w:rsid w:val="2671551B"/>
    <w:rsid w:val="26EB54B4"/>
    <w:rsid w:val="273B18FA"/>
    <w:rsid w:val="27D53945"/>
    <w:rsid w:val="27EC6D1F"/>
    <w:rsid w:val="289B00F7"/>
    <w:rsid w:val="29136238"/>
    <w:rsid w:val="2B3719C5"/>
    <w:rsid w:val="2BE7400F"/>
    <w:rsid w:val="2C145D33"/>
    <w:rsid w:val="2C503195"/>
    <w:rsid w:val="2C5123E1"/>
    <w:rsid w:val="2CA0042F"/>
    <w:rsid w:val="2CA51642"/>
    <w:rsid w:val="2CCD1E74"/>
    <w:rsid w:val="2D04149E"/>
    <w:rsid w:val="2D766A69"/>
    <w:rsid w:val="2DC50188"/>
    <w:rsid w:val="2DD93D4C"/>
    <w:rsid w:val="2E290581"/>
    <w:rsid w:val="2E567596"/>
    <w:rsid w:val="2E9A69C5"/>
    <w:rsid w:val="2EE84CA6"/>
    <w:rsid w:val="2F121C50"/>
    <w:rsid w:val="2FDD746B"/>
    <w:rsid w:val="300E183B"/>
    <w:rsid w:val="30441C7B"/>
    <w:rsid w:val="3323734B"/>
    <w:rsid w:val="33524A35"/>
    <w:rsid w:val="339D2477"/>
    <w:rsid w:val="33DC34B5"/>
    <w:rsid w:val="33F864F0"/>
    <w:rsid w:val="34750347"/>
    <w:rsid w:val="34F73F3A"/>
    <w:rsid w:val="35072736"/>
    <w:rsid w:val="35292E63"/>
    <w:rsid w:val="359C6C26"/>
    <w:rsid w:val="35D211CE"/>
    <w:rsid w:val="36AD08CD"/>
    <w:rsid w:val="37355DF2"/>
    <w:rsid w:val="38145767"/>
    <w:rsid w:val="38471845"/>
    <w:rsid w:val="39060B0C"/>
    <w:rsid w:val="39162C8C"/>
    <w:rsid w:val="39FE6173"/>
    <w:rsid w:val="3ACD53C1"/>
    <w:rsid w:val="3B3835C2"/>
    <w:rsid w:val="3B450195"/>
    <w:rsid w:val="3C697F1C"/>
    <w:rsid w:val="3CA27813"/>
    <w:rsid w:val="3CD46A82"/>
    <w:rsid w:val="3D0A35D2"/>
    <w:rsid w:val="3D514278"/>
    <w:rsid w:val="3D610536"/>
    <w:rsid w:val="3D795A27"/>
    <w:rsid w:val="3DA55A26"/>
    <w:rsid w:val="3F4B0B90"/>
    <w:rsid w:val="3FDC1556"/>
    <w:rsid w:val="40483048"/>
    <w:rsid w:val="42450553"/>
    <w:rsid w:val="427344A4"/>
    <w:rsid w:val="42A268B1"/>
    <w:rsid w:val="431D7913"/>
    <w:rsid w:val="43715D05"/>
    <w:rsid w:val="444632A3"/>
    <w:rsid w:val="447D4741"/>
    <w:rsid w:val="451B396A"/>
    <w:rsid w:val="465E0428"/>
    <w:rsid w:val="4667343F"/>
    <w:rsid w:val="46C92161"/>
    <w:rsid w:val="46ED6330"/>
    <w:rsid w:val="470D6011"/>
    <w:rsid w:val="47C139FE"/>
    <w:rsid w:val="47C96301"/>
    <w:rsid w:val="486A51B2"/>
    <w:rsid w:val="488E19FE"/>
    <w:rsid w:val="48983C67"/>
    <w:rsid w:val="48E377B8"/>
    <w:rsid w:val="4981092F"/>
    <w:rsid w:val="4A6D0280"/>
    <w:rsid w:val="4AE3393F"/>
    <w:rsid w:val="4BDD115C"/>
    <w:rsid w:val="4C006981"/>
    <w:rsid w:val="4C0D4C43"/>
    <w:rsid w:val="4C573C91"/>
    <w:rsid w:val="4C5972F7"/>
    <w:rsid w:val="4C93451E"/>
    <w:rsid w:val="4D510E91"/>
    <w:rsid w:val="4DBB59E1"/>
    <w:rsid w:val="4E0C62DC"/>
    <w:rsid w:val="4E5A5E1D"/>
    <w:rsid w:val="4E697A90"/>
    <w:rsid w:val="4EF00A95"/>
    <w:rsid w:val="4F4023E0"/>
    <w:rsid w:val="501635E5"/>
    <w:rsid w:val="50A76ECD"/>
    <w:rsid w:val="50BF2BB3"/>
    <w:rsid w:val="51017E48"/>
    <w:rsid w:val="51D954E3"/>
    <w:rsid w:val="53066A9D"/>
    <w:rsid w:val="53310203"/>
    <w:rsid w:val="53386B39"/>
    <w:rsid w:val="53802744"/>
    <w:rsid w:val="54436E69"/>
    <w:rsid w:val="5462555D"/>
    <w:rsid w:val="547B6B84"/>
    <w:rsid w:val="548C7E1A"/>
    <w:rsid w:val="54DF1C14"/>
    <w:rsid w:val="550226ED"/>
    <w:rsid w:val="554A000D"/>
    <w:rsid w:val="56484DFB"/>
    <w:rsid w:val="56C22086"/>
    <w:rsid w:val="575C3918"/>
    <w:rsid w:val="57E814AC"/>
    <w:rsid w:val="58670736"/>
    <w:rsid w:val="599A7D17"/>
    <w:rsid w:val="5A9F5C7B"/>
    <w:rsid w:val="5BA13433"/>
    <w:rsid w:val="5E8759A4"/>
    <w:rsid w:val="5EDF5A84"/>
    <w:rsid w:val="5F1B78D7"/>
    <w:rsid w:val="5F4E54B0"/>
    <w:rsid w:val="601F44AE"/>
    <w:rsid w:val="602F06FE"/>
    <w:rsid w:val="60AC584B"/>
    <w:rsid w:val="60B15773"/>
    <w:rsid w:val="60C85DAC"/>
    <w:rsid w:val="613620FE"/>
    <w:rsid w:val="61FC2599"/>
    <w:rsid w:val="623F09C9"/>
    <w:rsid w:val="6346226B"/>
    <w:rsid w:val="63ED7E5E"/>
    <w:rsid w:val="63F90704"/>
    <w:rsid w:val="64623A89"/>
    <w:rsid w:val="663E5814"/>
    <w:rsid w:val="66D56A66"/>
    <w:rsid w:val="66ED7E50"/>
    <w:rsid w:val="67611ED5"/>
    <w:rsid w:val="67AA3536"/>
    <w:rsid w:val="68E718AC"/>
    <w:rsid w:val="68F2460F"/>
    <w:rsid w:val="69BA6068"/>
    <w:rsid w:val="69ED7DC6"/>
    <w:rsid w:val="69F81672"/>
    <w:rsid w:val="6A4F35B8"/>
    <w:rsid w:val="6A6D4094"/>
    <w:rsid w:val="6AC242D8"/>
    <w:rsid w:val="6B9D0130"/>
    <w:rsid w:val="6C1B3F99"/>
    <w:rsid w:val="6C3F2167"/>
    <w:rsid w:val="6C7348F9"/>
    <w:rsid w:val="6C773542"/>
    <w:rsid w:val="6C7E02FB"/>
    <w:rsid w:val="6CFE4F8F"/>
    <w:rsid w:val="6D2F770C"/>
    <w:rsid w:val="6DCB3B73"/>
    <w:rsid w:val="6F89137C"/>
    <w:rsid w:val="6F90542C"/>
    <w:rsid w:val="7066288C"/>
    <w:rsid w:val="706F2925"/>
    <w:rsid w:val="70FE56D5"/>
    <w:rsid w:val="71CD0882"/>
    <w:rsid w:val="720419DE"/>
    <w:rsid w:val="721D52EB"/>
    <w:rsid w:val="725E4A51"/>
    <w:rsid w:val="726724C2"/>
    <w:rsid w:val="7338367F"/>
    <w:rsid w:val="733862F7"/>
    <w:rsid w:val="73E1774C"/>
    <w:rsid w:val="73ED2F63"/>
    <w:rsid w:val="74BE4CBD"/>
    <w:rsid w:val="75CD62EC"/>
    <w:rsid w:val="75DC79B9"/>
    <w:rsid w:val="75EB65B5"/>
    <w:rsid w:val="76F87D79"/>
    <w:rsid w:val="77126840"/>
    <w:rsid w:val="7766387A"/>
    <w:rsid w:val="77885540"/>
    <w:rsid w:val="779722B2"/>
    <w:rsid w:val="780D7A7E"/>
    <w:rsid w:val="78781135"/>
    <w:rsid w:val="79C52DCD"/>
    <w:rsid w:val="79E1783B"/>
    <w:rsid w:val="79F83F77"/>
    <w:rsid w:val="7A0550B0"/>
    <w:rsid w:val="7A4B4439"/>
    <w:rsid w:val="7A596AD9"/>
    <w:rsid w:val="7A7219C7"/>
    <w:rsid w:val="7BAC27DE"/>
    <w:rsid w:val="7BD81269"/>
    <w:rsid w:val="7BF8105A"/>
    <w:rsid w:val="7C25589F"/>
    <w:rsid w:val="7C655753"/>
    <w:rsid w:val="7C852ED7"/>
    <w:rsid w:val="7C862559"/>
    <w:rsid w:val="7F5D7B54"/>
    <w:rsid w:val="7FC57B0A"/>
    <w:rsid w:val="7FED7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7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420" w:lineRule="exact"/>
    </w:pPr>
    <w:rPr>
      <w:sz w:val="24"/>
    </w:r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8">
    <w:name w:val="Body Text Indent"/>
    <w:basedOn w:val="1"/>
    <w:link w:val="21"/>
    <w:qFormat/>
    <w:uiPriority w:val="0"/>
    <w:pPr>
      <w:ind w:left="360"/>
    </w:pPr>
    <w:rPr>
      <w:rFonts w:ascii="宋体"/>
      <w:sz w:val="20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character" w:customStyle="1" w:styleId="15">
    <w:name w:val="页眉 字符"/>
    <w:basedOn w:val="1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9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1">
    <w:name w:val="正文文本缩进 字符"/>
    <w:basedOn w:val="13"/>
    <w:link w:val="8"/>
    <w:qFormat/>
    <w:uiPriority w:val="0"/>
    <w:rPr>
      <w:rFonts w:ascii="宋体" w:hAnsi="Times New Roman" w:eastAsia="宋体" w:cs="Times New Roman"/>
      <w:kern w:val="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5601</Words>
  <Characters>5923</Characters>
  <Lines>49</Lines>
  <Paragraphs>13</Paragraphs>
  <TotalTime>2</TotalTime>
  <ScaleCrop>false</ScaleCrop>
  <LinksUpToDate>false</LinksUpToDate>
  <CharactersWithSpaces>6050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2020-09-21T02:05:00Z</dcterms:created>
  <dc:creator>微软用户</dc:creator>
  <cp:lastModifiedBy>强子</cp:lastModifiedBy>
  <dcterms:modified xsi:type="dcterms:W3CDTF">2022-03-12T09:07:43Z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D16FE6E9314D439686BAC4878AAD0864</vt:lpwstr>
  </property>
</Properties>
</file>