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山东心传矿山机电设备有限公司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0035-2020-2022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21"/>
          <w:szCs w:val="21"/>
        </w:rPr>
        <w:t>编号：</w:t>
      </w:r>
      <w:bookmarkStart w:id="3" w:name="合同编号Add"/>
      <w:r>
        <w:rPr>
          <w:rFonts w:ascii="Times New Roman" w:hAnsi="Times New Roman" w:eastAsia="宋体" w:cs="Times New Roman"/>
          <w:bCs/>
          <w:kern w:val="0"/>
          <w:sz w:val="21"/>
          <w:szCs w:val="21"/>
          <w:u w:val="single"/>
        </w:rPr>
        <w:t>0035-2020-2022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3363"/>
        <w:gridCol w:w="1691"/>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0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63"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4" w:name="组织名称Add1"/>
            <w:r>
              <w:rPr>
                <w:rFonts w:cs="宋体" w:asciiTheme="minorEastAsia" w:hAnsiTheme="minorEastAsia"/>
                <w:kern w:val="0"/>
                <w:szCs w:val="21"/>
              </w:rPr>
              <w:t>山东心传矿山机电设备有限公司</w:t>
            </w:r>
            <w:bookmarkEnd w:id="4"/>
          </w:p>
        </w:tc>
        <w:tc>
          <w:tcPr>
            <w:tcW w:w="169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企业联系人</w:t>
            </w:r>
          </w:p>
        </w:tc>
        <w:tc>
          <w:tcPr>
            <w:tcW w:w="246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5" w:name="联系人"/>
            <w:r>
              <w:rPr>
                <w:rFonts w:cs="宋体" w:asciiTheme="minorEastAsia" w:hAnsiTheme="minorEastAsia"/>
                <w:kern w:val="0"/>
                <w:szCs w:val="21"/>
              </w:rPr>
              <w:t>潘帅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63"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6" w:name="证书编号"/>
            <w:r>
              <w:rPr>
                <w:rFonts w:cs="宋体" w:asciiTheme="minorEastAsia" w:hAnsiTheme="minorEastAsia"/>
                <w:kern w:val="0"/>
                <w:szCs w:val="21"/>
              </w:rPr>
              <w:t>ISC-2020-0674</w:t>
            </w:r>
            <w:bookmarkEnd w:id="6"/>
          </w:p>
        </w:tc>
        <w:tc>
          <w:tcPr>
            <w:tcW w:w="169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证书有效期</w:t>
            </w:r>
          </w:p>
        </w:tc>
        <w:tc>
          <w:tcPr>
            <w:tcW w:w="246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7" w:name="证书有效期"/>
            <w:r>
              <w:rPr>
                <w:rFonts w:cs="宋体" w:asciiTheme="minorEastAsia" w:hAnsiTheme="minorEastAsia"/>
                <w:kern w:val="0"/>
                <w:szCs w:val="21"/>
              </w:rPr>
              <w:t>2025-03-29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63"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69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6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9" w:name="审核开始日"/>
            <w:r>
              <w:rPr>
                <w:rFonts w:cs="宋体" w:asciiTheme="minorEastAsia" w:hAnsiTheme="minorEastAsia"/>
                <w:kern w:val="0"/>
                <w:szCs w:val="21"/>
              </w:rPr>
              <w:t>2022年02月28日上午</w:t>
            </w:r>
            <w:bookmarkEnd w:id="9"/>
          </w:p>
          <w:p>
            <w:pPr>
              <w:tabs>
                <w:tab w:val="left" w:pos="880"/>
              </w:tabs>
              <w:autoSpaceDE w:val="0"/>
              <w:autoSpaceDN w:val="0"/>
              <w:adjustRightInd w:val="0"/>
              <w:spacing w:before="35" w:line="360" w:lineRule="auto"/>
              <w:ind w:right="16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至2022年03月1日上午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0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3363"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r>
              <w:rPr>
                <w:rFonts w:hint="default" w:ascii="Times New Roman" w:hAnsi="Times New Roman" w:eastAsia="宋体" w:cs="Times New Roman"/>
                <w:szCs w:val="21"/>
              </w:rPr>
              <w:t>刘复荣ISC[S]0376</w:t>
            </w:r>
          </w:p>
        </w:tc>
        <w:tc>
          <w:tcPr>
            <w:tcW w:w="169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bCs/>
                <w:kern w:val="0"/>
                <w:szCs w:val="21"/>
              </w:rPr>
            </w:pPr>
            <w:r>
              <w:rPr>
                <w:rFonts w:cs="宋体" w:asciiTheme="minorEastAsia" w:hAnsiTheme="minorEastAsia"/>
                <w:bCs/>
                <w:kern w:val="0"/>
                <w:szCs w:val="21"/>
              </w:rPr>
              <w:t>监督审核涉及</w:t>
            </w:r>
          </w:p>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cs="宋体" w:asciiTheme="minorEastAsia" w:hAnsiTheme="minorEastAsia"/>
                <w:bCs/>
                <w:kern w:val="0"/>
                <w:szCs w:val="21"/>
              </w:rPr>
              <w:t>的区域或部门</w:t>
            </w:r>
          </w:p>
        </w:tc>
        <w:tc>
          <w:tcPr>
            <w:tcW w:w="2461" w:type="dxa"/>
            <w:vAlign w:val="center"/>
          </w:tcPr>
          <w:p>
            <w:pPr>
              <w:jc w:val="left"/>
              <w:rPr>
                <w:rFonts w:cs="宋体" w:asciiTheme="minorEastAsia" w:hAnsiTheme="minorEastAsia"/>
                <w:kern w:val="0"/>
                <w:szCs w:val="21"/>
              </w:rPr>
            </w:pPr>
            <w:r>
              <w:rPr>
                <w:rFonts w:hint="eastAsia" w:ascii="Times New Roman" w:hAnsi="Times New Roman" w:eastAsia="宋体" w:cs="Times New Roman"/>
                <w:color w:val="auto"/>
                <w:szCs w:val="21"/>
                <w:lang w:val="en-US" w:eastAsia="zh-CN"/>
              </w:rPr>
              <w:t>管理层、</w:t>
            </w:r>
            <w:r>
              <w:rPr>
                <w:rFonts w:hint="default" w:ascii="Times New Roman" w:hAnsi="Times New Roman" w:eastAsia="宋体" w:cs="Times New Roman"/>
                <w:color w:val="auto"/>
                <w:szCs w:val="21"/>
                <w:lang w:val="en-US" w:eastAsia="zh-CN"/>
              </w:rPr>
              <w:t>质量部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生产部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技术部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综合部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营销部</w:t>
            </w:r>
            <w:bookmarkStart w:id="11" w:name="_GoBack"/>
            <w:bookmarkEnd w:id="11"/>
          </w:p>
        </w:tc>
      </w:tr>
    </w:tbl>
    <w:p>
      <w:pPr>
        <w:keepNext w:val="0"/>
        <w:keepLines w:val="0"/>
        <w:pageBreakBefore w:val="0"/>
        <w:widowControl/>
        <w:kinsoku/>
        <w:wordWrap/>
        <w:overflowPunct/>
        <w:topLinePunct w:val="0"/>
        <w:bidi w:val="0"/>
        <w:spacing w:line="312" w:lineRule="auto"/>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上年度监督审核</w:t>
      </w:r>
      <w:r>
        <w:rPr>
          <w:rFonts w:hint="eastAsia" w:ascii="宋体" w:hAnsi="宋体" w:cs="宋体"/>
          <w:bCs/>
          <w:color w:val="auto"/>
          <w:kern w:val="0"/>
          <w:szCs w:val="21"/>
        </w:rPr>
        <w:t>至今，公司日常运行中生产经营平稳，企业未有违反法律、法规问题和产品质量问题的投诉或重大质量事故发生。企业营业执照等资质未发生变化。</w:t>
      </w:r>
      <w:r>
        <w:rPr>
          <w:rFonts w:hint="eastAsia" w:ascii="宋体" w:hAnsi="宋体" w:cs="宋体"/>
          <w:bCs/>
          <w:color w:val="auto"/>
          <w:kern w:val="0"/>
          <w:szCs w:val="21"/>
          <w:lang w:val="en-US" w:eastAsia="zh-CN"/>
        </w:rPr>
        <w:t>对</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kern w:val="0"/>
        </w:rPr>
      </w:pPr>
      <w:r>
        <w:rPr>
          <w:rFonts w:hint="default" w:ascii="Times New Roman" w:hAnsi="Times New Roman" w:eastAsia="宋体" w:cs="Times New Roman"/>
          <w:bCs/>
          <w:kern w:val="0"/>
          <w:sz w:val="21"/>
          <w:szCs w:val="21"/>
        </w:rPr>
        <w:t>为有效评</w:t>
      </w:r>
      <w:r>
        <w:rPr>
          <w:rFonts w:hint="default" w:ascii="Times New Roman" w:hAnsi="Times New Roman" w:eastAsia="宋体" w:cs="Times New Roman"/>
          <w:bCs/>
          <w:kern w:val="0"/>
          <w:sz w:val="21"/>
          <w:szCs w:val="21"/>
          <w:u w:val="none"/>
        </w:rPr>
        <w:t>价</w:t>
      </w:r>
      <w:r>
        <w:rPr>
          <w:rFonts w:ascii="宋体" w:hAnsi="宋体"/>
          <w:sz w:val="21"/>
          <w:szCs w:val="21"/>
          <w:u w:val="none"/>
        </w:rPr>
        <w:t>山东心传矿山机电设备有限公司</w:t>
      </w:r>
      <w:r>
        <w:rPr>
          <w:rFonts w:hint="default" w:ascii="Times New Roman" w:hAnsi="Times New Roman" w:eastAsia="宋体" w:cs="Times New Roman"/>
          <w:bCs/>
          <w:kern w:val="0"/>
          <w:sz w:val="21"/>
          <w:szCs w:val="21"/>
          <w:u w:val="none"/>
        </w:rPr>
        <w:t>测</w:t>
      </w:r>
      <w:r>
        <w:rPr>
          <w:rFonts w:hint="default" w:ascii="Times New Roman" w:hAnsi="Times New Roman" w:eastAsia="宋体" w:cs="Times New Roman"/>
          <w:bCs/>
          <w:kern w:val="0"/>
          <w:sz w:val="21"/>
          <w:szCs w:val="21"/>
        </w:rPr>
        <w:t>量管理体系</w:t>
      </w:r>
      <w:r>
        <w:rPr>
          <w:rFonts w:hint="default" w:ascii="Times New Roman" w:hAnsi="Times New Roman" w:eastAsia="宋体" w:cs="Times New Roman"/>
          <w:bCs/>
          <w:kern w:val="0"/>
          <w:sz w:val="21"/>
          <w:szCs w:val="21"/>
          <w:lang w:val="en-US" w:eastAsia="zh-CN"/>
        </w:rPr>
        <w:t>自</w:t>
      </w:r>
      <w:r>
        <w:rPr>
          <w:rFonts w:hint="eastAsia" w:ascii="Times New Roman" w:hAnsi="Times New Roman" w:eastAsia="宋体" w:cs="Times New Roman"/>
          <w:bCs/>
          <w:kern w:val="0"/>
          <w:sz w:val="21"/>
          <w:szCs w:val="21"/>
          <w:lang w:val="en-US" w:eastAsia="zh-CN"/>
        </w:rPr>
        <w:t>上年度监督</w:t>
      </w:r>
      <w:r>
        <w:rPr>
          <w:rFonts w:hint="default" w:ascii="Times New Roman" w:hAnsi="Times New Roman" w:eastAsia="宋体" w:cs="Times New Roman"/>
          <w:bCs/>
          <w:kern w:val="0"/>
          <w:sz w:val="21"/>
          <w:szCs w:val="21"/>
          <w:lang w:val="en-US" w:eastAsia="zh-CN"/>
        </w:rPr>
        <w:t>审核后</w:t>
      </w:r>
      <w:r>
        <w:rPr>
          <w:rFonts w:hint="default" w:ascii="Times New Roman" w:hAnsi="Times New Roman" w:eastAsia="宋体" w:cs="Times New Roman"/>
          <w:bCs/>
          <w:kern w:val="0"/>
          <w:sz w:val="21"/>
          <w:szCs w:val="21"/>
        </w:rPr>
        <w:t>一年以来</w:t>
      </w:r>
      <w:r>
        <w:rPr>
          <w:rFonts w:hint="default"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运行情况，抽查了</w:t>
      </w:r>
      <w:r>
        <w:rPr>
          <w:rFonts w:hint="default" w:ascii="Times New Roman" w:hAnsi="Times New Roman" w:eastAsia="宋体" w:cs="Times New Roman"/>
          <w:bCs/>
          <w:kern w:val="0"/>
          <w:sz w:val="21"/>
          <w:szCs w:val="21"/>
          <w:lang w:val="en-US" w:eastAsia="zh-CN"/>
        </w:rPr>
        <w:t>企业</w:t>
      </w:r>
      <w:r>
        <w:rPr>
          <w:rFonts w:hint="default" w:ascii="Times New Roman" w:hAnsi="Times New Roman" w:eastAsia="宋体" w:cs="Times New Roman"/>
          <w:bCs/>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5</w:t>
      </w:r>
      <w:r>
        <w:rPr>
          <w:rFonts w:hint="default" w:ascii="Times New Roman" w:hAnsi="Times New Roman" w:eastAsia="宋体" w:cs="Times New Roman"/>
          <w:bCs/>
          <w:color w:val="auto"/>
          <w:kern w:val="0"/>
          <w:sz w:val="21"/>
          <w:szCs w:val="21"/>
          <w:lang w:val="en-US" w:eastAsia="zh-CN"/>
        </w:rPr>
        <w:t>个职能部</w:t>
      </w:r>
      <w:r>
        <w:rPr>
          <w:rFonts w:hint="default" w:ascii="Times New Roman" w:hAnsi="Times New Roman" w:eastAsia="宋体" w:cs="Times New Roman"/>
          <w:bCs/>
          <w:kern w:val="0"/>
          <w:sz w:val="21"/>
          <w:szCs w:val="21"/>
          <w:lang w:val="en-US" w:eastAsia="zh-CN"/>
        </w:rPr>
        <w:t>门，覆盖了企业</w:t>
      </w:r>
      <w:r>
        <w:rPr>
          <w:rFonts w:hint="default" w:ascii="Times New Roman" w:hAnsi="Times New Roman" w:eastAsia="宋体" w:cs="Times New Roman"/>
          <w:bCs/>
          <w:kern w:val="0"/>
          <w:sz w:val="21"/>
          <w:szCs w:val="21"/>
        </w:rPr>
        <w:t>管理、生产、经营、质量和环境等方面</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企业的能源计量器具的配备率及准确度等级均满足GB17167-2006标准要求</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企业不是重点</w:t>
      </w:r>
      <w:r>
        <w:rPr>
          <w:rFonts w:hint="default" w:ascii="Times New Roman" w:hAnsi="Times New Roman" w:eastAsia="宋体" w:cs="Times New Roman"/>
          <w:bCs/>
          <w:kern w:val="0"/>
          <w:sz w:val="21"/>
          <w:szCs w:val="21"/>
          <w:lang w:val="en-US" w:eastAsia="zh-CN"/>
        </w:rPr>
        <w:t>耗</w:t>
      </w:r>
      <w:r>
        <w:rPr>
          <w:rFonts w:hint="default" w:ascii="Times New Roman" w:hAnsi="Times New Roman" w:eastAsia="宋体" w:cs="Times New Roman"/>
          <w:bCs/>
          <w:kern w:val="0"/>
          <w:sz w:val="21"/>
          <w:szCs w:val="21"/>
        </w:rPr>
        <w:t>能单位</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重点抽查</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计量特征突出的重要环节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覆盖了主要原材料检验、生产工艺质量控制、产品出厂性能检测以及量值溯源系统</w:t>
      </w:r>
      <w:r>
        <w:rPr>
          <w:rFonts w:hint="default" w:ascii="Times New Roman" w:hAnsi="Times New Roman" w:eastAsia="宋体" w:cs="Times New Roman"/>
          <w:bCs/>
          <w:kern w:val="0"/>
          <w:sz w:val="21"/>
          <w:szCs w:val="21"/>
        </w:rPr>
        <w:t>，同时，跟踪验证了该</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在</w:t>
      </w:r>
      <w:r>
        <w:rPr>
          <w:rFonts w:hint="default" w:ascii="Times New Roman" w:hAnsi="Times New Roman" w:eastAsia="宋体" w:cs="Times New Roman"/>
          <w:bCs/>
          <w:kern w:val="0"/>
          <w:sz w:val="21"/>
          <w:szCs w:val="21"/>
          <w:lang w:val="en-US" w:eastAsia="zh-CN"/>
        </w:rPr>
        <w:t>一年来</w:t>
      </w:r>
      <w:r>
        <w:rPr>
          <w:rFonts w:hint="default" w:ascii="Times New Roman" w:hAnsi="Times New Roman" w:eastAsia="宋体" w:cs="Times New Roman"/>
          <w:bCs/>
          <w:kern w:val="0"/>
          <w:sz w:val="21"/>
          <w:szCs w:val="21"/>
        </w:rPr>
        <w:t>对体系的运行监视、分析完善和持续改进等工作情况。</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测量管理体系的符合性、有效性及持续改进，符合GB/T 19022-2003标准要求，</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测量管理体系正常有</w:t>
      </w:r>
      <w:r>
        <w:rPr>
          <w:rFonts w:hint="default" w:ascii="Times New Roman" w:hAnsi="Times New Roman" w:eastAsia="宋体" w:cs="Times New Roman"/>
          <w:bCs/>
          <w:kern w:val="0"/>
          <w:sz w:val="21"/>
          <w:szCs w:val="21"/>
          <w:lang w:val="en-US" w:eastAsia="zh-CN"/>
        </w:rPr>
        <w:t>效</w:t>
      </w:r>
      <w:r>
        <w:rPr>
          <w:rFonts w:hint="default" w:ascii="Times New Roman" w:hAnsi="Times New Roman" w:eastAsia="宋体" w:cs="Times New Roman"/>
          <w:bCs/>
          <w:kern w:val="0"/>
          <w:sz w:val="21"/>
          <w:szCs w:val="21"/>
        </w:rPr>
        <w:t>运行，较好地满足了</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Style w:val="9"/>
          <w:rFonts w:hint="eastAsia" w:ascii="宋体" w:eastAsia="宋体"/>
          <w:color w:val="0070C0"/>
          <w:sz w:val="21"/>
          <w:szCs w:val="21"/>
          <w:highlight w:val="yellow"/>
          <w:lang w:val="en-US" w:eastAsia="zh-CN"/>
        </w:rPr>
      </w:pPr>
      <w:r>
        <w:rPr>
          <w:rStyle w:val="9"/>
          <w:rFonts w:hint="eastAsia" w:ascii="宋体" w:eastAsia="宋体"/>
          <w:b/>
          <w:bCs/>
          <w:color w:val="auto"/>
          <w:sz w:val="21"/>
          <w:szCs w:val="21"/>
        </w:rPr>
        <w:t>2.1内审情况：</w:t>
      </w:r>
      <w:r>
        <w:rPr>
          <w:rStyle w:val="9"/>
          <w:rFonts w:hint="eastAsia" w:ascii="宋体" w:eastAsia="宋体"/>
          <w:color w:val="auto"/>
          <w:sz w:val="21"/>
          <w:szCs w:val="21"/>
          <w:lang w:val="en-US" w:eastAsia="zh-CN"/>
        </w:rPr>
        <w:t>企业</w:t>
      </w:r>
      <w:r>
        <w:rPr>
          <w:rFonts w:hint="eastAsia" w:ascii="宋体" w:hAnsi="宋体"/>
          <w:bCs/>
          <w:color w:val="auto"/>
          <w:szCs w:val="21"/>
        </w:rPr>
        <w:t>于</w:t>
      </w:r>
      <w:r>
        <w:rPr>
          <w:rFonts w:hint="default" w:ascii="Times New Roman" w:hAnsi="Times New Roman" w:eastAsia="宋体" w:cs="Times New Roman"/>
          <w:bCs/>
          <w:color w:val="auto"/>
          <w:sz w:val="21"/>
          <w:szCs w:val="21"/>
          <w:highlight w:val="none"/>
        </w:rPr>
        <w:t>202</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年</w:t>
      </w:r>
      <w:r>
        <w:rPr>
          <w:rFonts w:hint="eastAsia" w:ascii="Times New Roman" w:hAnsi="Times New Roman" w:eastAsia="宋体"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月</w:t>
      </w:r>
      <w:r>
        <w:rPr>
          <w:rFonts w:hint="eastAsia" w:ascii="Times New Roman" w:hAnsi="Times New Roman" w:eastAsia="宋体" w:cs="Times New Roman"/>
          <w:bCs/>
          <w:color w:val="auto"/>
          <w:sz w:val="21"/>
          <w:szCs w:val="21"/>
          <w:highlight w:val="none"/>
          <w:lang w:val="en-US" w:eastAsia="zh-CN"/>
        </w:rPr>
        <w:t>15日</w:t>
      </w:r>
      <w:r>
        <w:rPr>
          <w:rFonts w:hint="eastAsia" w:ascii="宋体" w:hAnsi="宋体"/>
          <w:bCs/>
          <w:color w:val="auto"/>
          <w:szCs w:val="21"/>
        </w:rPr>
        <w:t>组织了</w:t>
      </w:r>
      <w:r>
        <w:rPr>
          <w:rFonts w:ascii="宋体" w:hAnsi="宋体"/>
          <w:bCs/>
          <w:color w:val="auto"/>
          <w:szCs w:val="21"/>
        </w:rPr>
        <w:t>测量管理体系</w:t>
      </w:r>
      <w:r>
        <w:rPr>
          <w:rFonts w:hint="eastAsia" w:ascii="宋体" w:hAnsi="宋体"/>
          <w:bCs/>
          <w:color w:val="auto"/>
          <w:szCs w:val="21"/>
          <w:lang w:val="en-US" w:eastAsia="zh-CN"/>
        </w:rPr>
        <w:t>内审</w:t>
      </w:r>
      <w:r>
        <w:rPr>
          <w:rFonts w:ascii="宋体" w:hAnsi="宋体"/>
          <w:bCs/>
          <w:color w:val="auto"/>
          <w:szCs w:val="21"/>
        </w:rPr>
        <w:t>，</w:t>
      </w:r>
      <w:r>
        <w:rPr>
          <w:rFonts w:hint="eastAsia" w:ascii="宋体" w:hAnsi="宋体"/>
          <w:bCs/>
          <w:color w:val="auto"/>
          <w:szCs w:val="21"/>
        </w:rPr>
        <w:t>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5</w:t>
      </w:r>
      <w:r>
        <w:rPr>
          <w:rFonts w:hint="eastAsia" w:ascii="宋体" w:hAnsi="宋体"/>
          <w:bCs/>
          <w:color w:val="auto"/>
          <w:szCs w:val="21"/>
        </w:rPr>
        <w:t>个部门进行了全要素的审核，</w:t>
      </w:r>
      <w:r>
        <w:rPr>
          <w:rFonts w:ascii="宋体" w:hAnsi="宋体"/>
          <w:bCs/>
          <w:color w:val="auto"/>
          <w:szCs w:val="21"/>
          <w:highlight w:val="none"/>
        </w:rPr>
        <w:t>共</w:t>
      </w:r>
      <w:r>
        <w:rPr>
          <w:rFonts w:hint="eastAsia" w:ascii="宋体" w:hAnsi="宋体"/>
          <w:bCs/>
          <w:color w:val="auto"/>
          <w:szCs w:val="21"/>
          <w:highlight w:val="none"/>
          <w:lang w:val="en-US" w:eastAsia="zh-CN"/>
        </w:rPr>
        <w:t>出具</w:t>
      </w:r>
      <w:r>
        <w:rPr>
          <w:rFonts w:ascii="宋体" w:hAnsi="宋体"/>
          <w:bCs/>
          <w:color w:val="auto"/>
          <w:szCs w:val="21"/>
          <w:highlight w:val="none"/>
        </w:rPr>
        <w:t>了</w:t>
      </w:r>
      <w:r>
        <w:rPr>
          <w:rFonts w:hint="eastAsia" w:ascii="宋体" w:hAnsi="宋体"/>
          <w:bCs/>
          <w:color w:val="auto"/>
          <w:szCs w:val="21"/>
          <w:highlight w:val="none"/>
          <w:lang w:val="en-US" w:eastAsia="zh-CN"/>
        </w:rPr>
        <w:t>1个</w:t>
      </w:r>
      <w:r>
        <w:rPr>
          <w:rFonts w:hint="eastAsia" w:ascii="宋体" w:hAnsi="宋体"/>
          <w:bCs/>
          <w:color w:val="auto"/>
          <w:szCs w:val="21"/>
          <w:highlight w:val="none"/>
        </w:rPr>
        <w:t>不</w:t>
      </w:r>
      <w:r>
        <w:rPr>
          <w:rFonts w:ascii="宋体" w:hAnsi="宋体"/>
          <w:bCs/>
          <w:color w:val="auto"/>
          <w:szCs w:val="21"/>
          <w:highlight w:val="none"/>
        </w:rPr>
        <w:t>符合</w:t>
      </w:r>
      <w:r>
        <w:rPr>
          <w:rFonts w:hint="eastAsia" w:ascii="宋体" w:hAnsi="宋体"/>
          <w:bCs/>
          <w:color w:val="auto"/>
          <w:szCs w:val="21"/>
          <w:highlight w:val="none"/>
          <w:lang w:val="en-US" w:eastAsia="zh-CN"/>
        </w:rPr>
        <w:t>项</w:t>
      </w:r>
      <w:r>
        <w:rPr>
          <w:rFonts w:hint="eastAsia" w:ascii="宋体" w:hAnsi="宋体"/>
          <w:bCs/>
          <w:color w:val="auto"/>
          <w:szCs w:val="21"/>
          <w:highlight w:val="none"/>
        </w:rPr>
        <w:t>，</w:t>
      </w:r>
      <w:r>
        <w:rPr>
          <w:rFonts w:hint="default" w:ascii="Times New Roman" w:hAnsi="Times New Roman" w:eastAsia="宋体" w:cs="Times New Roman"/>
          <w:color w:val="auto"/>
          <w:sz w:val="21"/>
          <w:szCs w:val="21"/>
          <w:highlight w:val="none"/>
          <w:lang w:val="en-US" w:eastAsia="zh-CN"/>
        </w:rPr>
        <w:t>涉及认可准则“</w:t>
      </w:r>
      <w:r>
        <w:rPr>
          <w:rFonts w:hint="eastAsia" w:ascii="Times New Roman" w:hAnsi="Times New Roman" w:eastAsia="宋体" w:cs="Times New Roman"/>
          <w:color w:val="auto"/>
          <w:sz w:val="21"/>
          <w:szCs w:val="21"/>
          <w:highlight w:val="none"/>
          <w:lang w:val="en-US" w:eastAsia="zh-CN"/>
        </w:rPr>
        <w:t>7.3.2溯源性”</w:t>
      </w:r>
      <w:r>
        <w:rPr>
          <w:rFonts w:hint="default" w:ascii="Times New Roman" w:hAnsi="Times New Roman" w:eastAsia="宋体" w:cs="Times New Roman"/>
          <w:color w:val="auto"/>
          <w:sz w:val="21"/>
          <w:szCs w:val="21"/>
          <w:highlight w:val="none"/>
          <w:lang w:val="en-US" w:eastAsia="zh-CN"/>
        </w:rPr>
        <w:t>条款</w:t>
      </w:r>
      <w:r>
        <w:rPr>
          <w:rFonts w:hint="default" w:ascii="Times New Roman" w:hAnsi="Times New Roman" w:eastAsia="宋体" w:cs="Times New Roman"/>
          <w:sz w:val="21"/>
          <w:szCs w:val="21"/>
          <w:highlight w:val="none"/>
          <w:lang w:val="en-US" w:eastAsia="zh-CN"/>
        </w:rPr>
        <w:t>，已进行了原因分析，制定了纠正措施</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已</w:t>
      </w:r>
      <w:r>
        <w:rPr>
          <w:rFonts w:hint="default" w:ascii="Times New Roman" w:hAnsi="Times New Roman" w:eastAsia="宋体" w:cs="Times New Roman"/>
          <w:color w:val="auto"/>
          <w:sz w:val="21"/>
          <w:szCs w:val="21"/>
          <w:highlight w:val="none"/>
          <w:lang w:val="en-US" w:eastAsia="zh-CN"/>
        </w:rPr>
        <w:t>完成了整改</w:t>
      </w:r>
      <w:r>
        <w:rPr>
          <w:rFonts w:hint="eastAsia" w:ascii="Times New Roman" w:hAnsi="Times New Roman" w:eastAsia="宋体" w:cs="Times New Roman"/>
          <w:color w:val="auto"/>
          <w:sz w:val="21"/>
          <w:szCs w:val="21"/>
          <w:highlight w:val="none"/>
          <w:lang w:val="en-US" w:eastAsia="zh-CN"/>
        </w:rPr>
        <w:t>，不符合</w:t>
      </w:r>
      <w:r>
        <w:rPr>
          <w:rFonts w:hint="eastAsia" w:ascii="Times New Roman" w:hAnsi="Times New Roman" w:eastAsia="宋体" w:cs="Times New Roman"/>
          <w:sz w:val="21"/>
          <w:szCs w:val="21"/>
          <w:highlight w:val="none"/>
          <w:lang w:val="en-US" w:eastAsia="zh-CN"/>
        </w:rPr>
        <w:t>项关闭。</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Cs w:val="21"/>
          <w:highlight w:val="none"/>
        </w:rPr>
        <w:t>20</w:t>
      </w: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15</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rPr>
        <w:t>开展</w:t>
      </w:r>
      <w:r>
        <w:rPr>
          <w:rFonts w:hint="eastAsia"/>
          <w:color w:val="auto"/>
          <w:szCs w:val="21"/>
        </w:rPr>
        <w:t>了</w:t>
      </w:r>
      <w:r>
        <w:rPr>
          <w:rFonts w:hint="eastAsia"/>
          <w:b w:val="0"/>
          <w:bCs w:val="0"/>
          <w:color w:val="auto"/>
          <w:szCs w:val="21"/>
        </w:rPr>
        <w:t>单</w:t>
      </w:r>
      <w:r>
        <w:rPr>
          <w:rFonts w:hint="eastAsia"/>
          <w:color w:val="auto"/>
          <w:szCs w:val="21"/>
        </w:rPr>
        <w:t>体系管理评审，会议</w:t>
      </w:r>
      <w:r>
        <w:rPr>
          <w:color w:val="auto"/>
          <w:szCs w:val="21"/>
        </w:rPr>
        <w:t>由</w:t>
      </w:r>
      <w:r>
        <w:rPr>
          <w:rFonts w:hint="eastAsia"/>
          <w:color w:val="auto"/>
          <w:szCs w:val="21"/>
          <w:lang w:val="en-US" w:eastAsia="zh-CN"/>
        </w:rPr>
        <w:t>总经理潘波</w:t>
      </w:r>
      <w:r>
        <w:rPr>
          <w:rFonts w:hint="eastAsia"/>
          <w:color w:val="auto"/>
          <w:szCs w:val="21"/>
          <w:highlight w:val="none"/>
          <w:lang w:val="en-US" w:eastAsia="zh-CN"/>
        </w:rPr>
        <w:t>主持，</w:t>
      </w:r>
      <w:r>
        <w:rPr>
          <w:rFonts w:hint="eastAsia" w:ascii="Times New Roman" w:hAnsi="Times New Roman" w:eastAsia="宋体" w:cs="Times New Roman"/>
          <w:color w:val="auto"/>
          <w:sz w:val="21"/>
          <w:szCs w:val="21"/>
          <w:highlight w:val="none"/>
          <w:lang w:val="en-US" w:eastAsia="zh-CN"/>
        </w:rPr>
        <w:t>管理者代表潘帅</w:t>
      </w:r>
      <w:r>
        <w:rPr>
          <w:rFonts w:hint="eastAsia"/>
          <w:color w:val="auto"/>
          <w:szCs w:val="21"/>
          <w:highlight w:val="none"/>
          <w:lang w:val="en-US" w:eastAsia="zh-CN"/>
        </w:rPr>
        <w:t>及</w:t>
      </w:r>
      <w:r>
        <w:rPr>
          <w:rFonts w:hint="eastAsia"/>
          <w:szCs w:val="21"/>
          <w:highlight w:val="none"/>
          <w:lang w:val="en-US" w:eastAsia="zh-CN"/>
        </w:rPr>
        <w:t>各</w:t>
      </w:r>
      <w:r>
        <w:rPr>
          <w:bCs/>
          <w:szCs w:val="21"/>
          <w:highlight w:val="none"/>
        </w:rPr>
        <w:t>部门</w:t>
      </w:r>
      <w:r>
        <w:rPr>
          <w:bCs/>
          <w:szCs w:val="21"/>
        </w:rPr>
        <w:t>负责人</w:t>
      </w:r>
      <w:r>
        <w:rPr>
          <w:rFonts w:hint="eastAsia"/>
          <w:bCs/>
          <w:szCs w:val="21"/>
          <w:lang w:val="en-US" w:eastAsia="zh-CN"/>
        </w:rPr>
        <w:t>分别</w:t>
      </w:r>
      <w:r>
        <w:rPr>
          <w:szCs w:val="21"/>
        </w:rPr>
        <w:t>汇报了体系运行情况。</w:t>
      </w:r>
      <w:r>
        <w:rPr>
          <w:rFonts w:hint="eastAsia"/>
          <w:szCs w:val="21"/>
          <w:lang w:val="en-US" w:eastAsia="zh-CN"/>
        </w:rPr>
        <w:t>管评输入包括</w:t>
      </w:r>
      <w:r>
        <w:rPr>
          <w:rFonts w:hint="eastAsia" w:ascii="宋体" w:hAnsi="宋体" w:eastAsia="宋体" w:cs="宋体"/>
          <w:color w:val="auto"/>
          <w:sz w:val="21"/>
          <w:szCs w:val="21"/>
        </w:rPr>
        <w:t>测量管理体系内</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的结果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内外部顾客对企业产品/服务反馈的信息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方针</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目标的可行性</w:t>
      </w:r>
      <w:r>
        <w:rPr>
          <w:rFonts w:hint="eastAsia" w:ascii="宋体" w:hAnsi="宋体" w:eastAsia="宋体" w:cs="宋体"/>
          <w:color w:val="auto"/>
          <w:kern w:val="0"/>
          <w:sz w:val="21"/>
          <w:szCs w:val="21"/>
          <w:lang w:val="en-US" w:eastAsia="zh-CN"/>
        </w:rPr>
        <w:t>等6个方面的内容。</w:t>
      </w:r>
    </w:p>
    <w:p>
      <w:pPr>
        <w:keepNext w:val="0"/>
        <w:keepLines w:val="0"/>
        <w:pageBreakBefore w:val="0"/>
        <w:kinsoku/>
        <w:wordWrap/>
        <w:overflowPunct/>
        <w:topLinePunct w:val="0"/>
        <w:bidi w:val="0"/>
        <w:spacing w:line="312" w:lineRule="auto"/>
        <w:ind w:firstLine="420" w:firstLineChars="200"/>
        <w:textAlignment w:val="auto"/>
        <w:rPr>
          <w:rStyle w:val="9"/>
          <w:rFonts w:ascii="宋体" w:eastAsia="宋体"/>
          <w:color w:val="0070C0"/>
          <w:sz w:val="21"/>
          <w:szCs w:val="21"/>
        </w:rPr>
      </w:pPr>
      <w:r>
        <w:rPr>
          <w:rFonts w:hint="default" w:ascii="Times New Roman" w:hAnsi="Times New Roman" w:eastAsia="宋体" w:cs="Times New Roman"/>
          <w:color w:val="auto"/>
          <w:sz w:val="21"/>
          <w:szCs w:val="21"/>
        </w:rPr>
        <w:t>会议肯定了企业测量管理体系的充分性、有效性和适宜性</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评审结论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公司建立的测量管理体系质量方针目标策划到位，编制的测量管理体系文件符合标准要求且有效运行，测量设备处于良好的工作状态，测量过程有效测量结果准确、可靠，达到了保证和提高公司产品质量、提高公司生产、经营效率、安全环保监测管理水平的目的，降低了能源消耗和物料消耗，整个测量管理体系实施运行的过程处于受控状态，是适宜的、有效的，符合GB/T19022-2003标准、《中华人民共和国计量法》及国家相关的计量法令、法规规定的要</w:t>
      </w:r>
      <w:r>
        <w:rPr>
          <w:rFonts w:hint="eastAsia" w:ascii="Times New Roman" w:hAnsi="Times New Roman" w:eastAsia="宋体" w:cs="Times New Roman"/>
          <w:color w:val="auto"/>
          <w:sz w:val="21"/>
          <w:szCs w:val="21"/>
          <w:lang w:val="en-US" w:eastAsia="zh-CN"/>
        </w:rPr>
        <w:t>求。对发现的测量设备管理不到位的问题，落实了责任部门加以管控。</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eastAsia"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2" w:firstLineChars="200"/>
        <w:jc w:val="left"/>
        <w:textAlignment w:val="auto"/>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a)</w:t>
      </w:r>
      <w:r>
        <w:rPr>
          <w:rFonts w:hint="eastAsia" w:cs="宋体" w:asciiTheme="minorEastAsia" w:hAnsiTheme="minorEastAsia"/>
          <w:bCs/>
          <w:color w:val="auto"/>
          <w:kern w:val="0"/>
          <w:szCs w:val="21"/>
        </w:rPr>
        <w:t>计量要求的导出和验证：查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color w:val="auto"/>
          <w:sz w:val="21"/>
          <w:szCs w:val="21"/>
          <w:lang w:val="en-US" w:eastAsia="zh-CN"/>
        </w:rPr>
        <w:t>排沙泵转子下端外径尺寸测量过程</w:t>
      </w:r>
      <w:r>
        <w:rPr>
          <w:rFonts w:hint="eastAsia"/>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color w:val="auto"/>
          <w:sz w:val="21"/>
          <w:szCs w:val="21"/>
          <w:lang w:val="en-US" w:eastAsia="zh-CN"/>
        </w:rPr>
        <w:t>排沙泵转子下端外径尺寸测量过程</w:t>
      </w:r>
      <w:r>
        <w:rPr>
          <w:rFonts w:hint="eastAsia"/>
          <w:lang w:val="en-US" w:eastAsia="zh-CN"/>
        </w:rPr>
        <w:t>”的</w:t>
      </w:r>
      <w:r>
        <w:rPr>
          <w:rFonts w:hint="eastAsia"/>
          <w:color w:val="auto"/>
        </w:rPr>
        <w:t>测量不确定度评定</w:t>
      </w:r>
      <w:r>
        <w:rPr>
          <w:rFonts w:hint="eastAsia"/>
          <w:color w:val="auto"/>
          <w:lang w:val="en-US" w:eastAsia="zh-CN"/>
        </w:rPr>
        <w:t>情况，方法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color w:val="auto"/>
          <w:sz w:val="21"/>
          <w:szCs w:val="21"/>
          <w:lang w:val="en-US" w:eastAsia="zh-CN"/>
        </w:rPr>
        <w:t>排沙泵转子下端外径尺寸测量过程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c)</w:t>
      </w:r>
      <w:r>
        <w:rPr>
          <w:rFonts w:hint="eastAsia" w:cs="宋体" w:asciiTheme="minorEastAsia" w:hAnsiTheme="minorEastAsia"/>
          <w:color w:val="auto"/>
          <w:kern w:val="0"/>
          <w:szCs w:val="21"/>
        </w:rPr>
        <w:t>有效性确认：查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排沙泵转子下端外径尺寸测量过程</w:t>
      </w:r>
      <w:r>
        <w:rPr>
          <w:rFonts w:hint="eastAsia"/>
          <w:lang w:val="en-US" w:eastAsia="zh-CN"/>
        </w:rPr>
        <w:t>”</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cs="宋体" w:asciiTheme="minorEastAsia" w:hAnsiTheme="minorEastAsia"/>
          <w:color w:val="auto"/>
          <w:kern w:val="0"/>
          <w:szCs w:val="21"/>
        </w:rPr>
      </w:pPr>
      <w:r>
        <w:rPr>
          <w:rFonts w:hint="eastAsia" w:cs="宋体" w:asciiTheme="minorEastAsia" w:hAnsiTheme="minorEastAsia"/>
          <w:b/>
          <w:bCs/>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排沙泵转子下端外径尺寸测量过程</w:t>
      </w:r>
      <w:r>
        <w:rPr>
          <w:rFonts w:hint="eastAsia"/>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排沙泵转子下端外径尺寸测量过程</w:t>
      </w:r>
      <w:r>
        <w:rPr>
          <w:rFonts w:hint="eastAsia"/>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kinsoku/>
        <w:wordWrap/>
        <w:overflowPunct/>
        <w:topLinePunct w:val="0"/>
        <w:autoSpaceDE/>
        <w:autoSpaceDN/>
        <w:bidi w:val="0"/>
        <w:adjustRightInd/>
        <w:snapToGrid/>
        <w:spacing w:line="312" w:lineRule="auto"/>
        <w:ind w:firstLine="420"/>
        <w:jc w:val="center"/>
        <w:textAlignment w:val="auto"/>
        <w:rPr>
          <w:rFonts w:hint="eastAsia" w:ascii="Times New Roman" w:hAnsi="Times New Roman" w:eastAsia="宋体" w:cs="Times New Roman"/>
          <w:color w:val="auto"/>
          <w:sz w:val="21"/>
          <w:szCs w:val="21"/>
          <w:lang w:val="en-US" w:eastAsia="zh-CN"/>
        </w:rPr>
      </w:pPr>
      <w:r>
        <w:rPr>
          <w:rFonts w:hint="eastAsia" w:cs="宋体" w:asciiTheme="minorEastAsia" w:hAnsiTheme="minorEastAsia"/>
          <w:b/>
          <w:bCs/>
          <w:color w:val="auto"/>
          <w:kern w:val="0"/>
          <w:szCs w:val="21"/>
        </w:rPr>
        <w:t>f)</w:t>
      </w:r>
      <w:r>
        <w:rPr>
          <w:rFonts w:hint="eastAsia" w:cs="宋体" w:asciiTheme="minorEastAsia" w:hAnsiTheme="minorEastAsia"/>
          <w:color w:val="auto"/>
          <w:kern w:val="0"/>
          <w:szCs w:val="21"/>
        </w:rPr>
        <w:t>测量设备的</w:t>
      </w:r>
      <w:r>
        <w:rPr>
          <w:rFonts w:hint="eastAsia" w:cs="宋体" w:asciiTheme="minorEastAsia" w:hAnsiTheme="minorEastAsia"/>
          <w:color w:val="auto"/>
          <w:kern w:val="0"/>
          <w:sz w:val="21"/>
          <w:szCs w:val="21"/>
        </w:rPr>
        <w:t>溯源：</w:t>
      </w:r>
      <w:r>
        <w:rPr>
          <w:rFonts w:hint="eastAsia" w:ascii="Times New Roman" w:hAnsi="Times New Roman" w:eastAsia="宋体" w:cs="Times New Roman"/>
          <w:color w:val="auto"/>
          <w:kern w:val="0"/>
          <w:sz w:val="21"/>
          <w:szCs w:val="21"/>
          <w:lang w:val="en-US" w:eastAsia="zh-CN"/>
        </w:rPr>
        <w:t>企业</w:t>
      </w:r>
      <w:r>
        <w:rPr>
          <w:rFonts w:ascii="Times New Roman" w:hAnsi="Times New Roman" w:eastAsia="宋体" w:cs="Times New Roman"/>
          <w:kern w:val="0"/>
          <w:sz w:val="21"/>
          <w:szCs w:val="21"/>
        </w:rPr>
        <w:t>未建</w:t>
      </w:r>
      <w:r>
        <w:rPr>
          <w:rFonts w:hint="eastAsia" w:ascii="Times New Roman" w:hAnsi="Times New Roman" w:eastAsia="宋体" w:cs="Times New Roman"/>
          <w:kern w:val="0"/>
          <w:sz w:val="21"/>
          <w:szCs w:val="21"/>
          <w:lang w:val="en-US" w:eastAsia="zh-CN"/>
        </w:rPr>
        <w:t>立</w:t>
      </w:r>
      <w:r>
        <w:rPr>
          <w:rFonts w:ascii="Times New Roman" w:hAnsi="Times New Roman" w:eastAsia="宋体" w:cs="Times New Roman"/>
          <w:kern w:val="0"/>
          <w:sz w:val="21"/>
          <w:szCs w:val="21"/>
        </w:rPr>
        <w:t>最高计量标准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color w:val="auto"/>
          <w:kern w:val="0"/>
          <w:sz w:val="21"/>
          <w:szCs w:val="21"/>
        </w:rPr>
        <w:t>测量设备全部</w:t>
      </w:r>
      <w:r>
        <w:rPr>
          <w:rFonts w:hint="eastAsia" w:ascii="Times New Roman" w:hAnsi="Times New Roman" w:eastAsia="宋体" w:cs="Times New Roman"/>
          <w:color w:val="auto"/>
          <w:kern w:val="0"/>
          <w:sz w:val="21"/>
          <w:szCs w:val="21"/>
          <w:lang w:val="en-US" w:eastAsia="zh-CN"/>
        </w:rPr>
        <w:t>外</w:t>
      </w:r>
      <w:r>
        <w:rPr>
          <w:rFonts w:hint="default" w:ascii="Times New Roman" w:hAnsi="Times New Roman" w:eastAsia="宋体" w:cs="Times New Roman"/>
          <w:color w:val="auto"/>
          <w:kern w:val="0"/>
          <w:sz w:val="21"/>
          <w:szCs w:val="21"/>
        </w:rPr>
        <w:t>委</w:t>
      </w:r>
      <w:r>
        <w:rPr>
          <w:rFonts w:hint="eastAsia" w:ascii="Times New Roman" w:hAnsi="Times New Roman" w:eastAsia="宋体" w:cs="Times New Roman"/>
          <w:color w:val="auto"/>
          <w:kern w:val="0"/>
          <w:sz w:val="21"/>
          <w:szCs w:val="21"/>
          <w:lang w:val="en-US" w:eastAsia="zh-CN"/>
        </w:rPr>
        <w:t>到</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Cs w:val="21"/>
          <w:lang w:val="en-US" w:eastAsia="zh-CN"/>
        </w:rPr>
        <w:t>济宁市计量测试所</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其</w:t>
      </w:r>
      <w:r>
        <w:rPr>
          <w:rFonts w:hint="eastAsia" w:ascii="Times New Roman" w:hAnsi="Times New Roman" w:eastAsia="宋体" w:cs="Times New Roman"/>
          <w:color w:val="auto"/>
          <w:sz w:val="21"/>
          <w:szCs w:val="21"/>
          <w:highlight w:val="none"/>
          <w:lang w:val="en-US" w:eastAsia="zh-CN"/>
        </w:rPr>
        <w:t>计量检定机构授权证书号为（鲁）法计（2018）37008号】</w:t>
      </w:r>
      <w:r>
        <w:rPr>
          <w:rFonts w:hint="eastAsia" w:ascii="Times New Roman" w:hAnsi="Times New Roman" w:eastAsia="宋体" w:cs="Times New Roman"/>
          <w:color w:val="auto"/>
          <w:kern w:val="2"/>
          <w:sz w:val="21"/>
          <w:szCs w:val="21"/>
          <w:highlight w:val="none"/>
          <w:lang w:val="en-US" w:eastAsia="zh-CN" w:bidi="ar-SA"/>
        </w:rPr>
        <w:t>进行检定校准，</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6</w:t>
      </w:r>
    </w:p>
    <w:p>
      <w:pPr>
        <w:keepNext w:val="0"/>
        <w:keepLines w:val="0"/>
        <w:pageBreakBefore w:val="0"/>
        <w:kinsoku/>
        <w:wordWrap/>
        <w:overflowPunct/>
        <w:topLinePunct w:val="0"/>
        <w:autoSpaceDE/>
        <w:autoSpaceDN/>
        <w:bidi w:val="0"/>
        <w:adjustRightInd/>
        <w:snapToGrid/>
        <w:spacing w:line="312" w:lineRule="auto"/>
        <w:jc w:val="both"/>
        <w:textAlignment w:val="auto"/>
        <w:rPr>
          <w:rFonts w:hint="eastAsia" w:eastAsiaTheme="minorEastAsia"/>
          <w:color w:val="auto"/>
          <w:szCs w:val="21"/>
          <w:lang w:eastAsia="zh-CN"/>
        </w:rPr>
      </w:pPr>
      <w:r>
        <w:rPr>
          <w:rFonts w:hint="default" w:ascii="Times New Roman" w:hAnsi="Times New Roman" w:eastAsia="宋体" w:cs="Times New Roman"/>
          <w:color w:val="auto"/>
          <w:sz w:val="21"/>
          <w:szCs w:val="21"/>
        </w:rPr>
        <w:t>份</w:t>
      </w:r>
      <w:r>
        <w:rPr>
          <w:rFonts w:hint="eastAsia" w:ascii="Times New Roman" w:hAnsi="Times New Roman" w:eastAsia="宋体" w:cs="Times New Roman"/>
          <w:color w:val="auto"/>
          <w:sz w:val="21"/>
          <w:szCs w:val="21"/>
          <w:lang w:val="en-US" w:eastAsia="zh-CN"/>
        </w:rPr>
        <w:t>检定</w:t>
      </w:r>
      <w:r>
        <w:rPr>
          <w:rFonts w:hint="default" w:ascii="Times New Roman" w:hAnsi="Times New Roman" w:eastAsia="宋体" w:cs="Times New Roman"/>
          <w:color w:val="auto"/>
          <w:sz w:val="21"/>
          <w:szCs w:val="21"/>
        </w:rPr>
        <w:t>校准证书均在有效期内，符合要求。详见《测量设备溯源抽查表》</w:t>
      </w:r>
      <w:r>
        <w:rPr>
          <w:rFonts w:hint="eastAsia"/>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b/>
          <w:bCs/>
          <w:color w:val="auto"/>
          <w:szCs w:val="21"/>
        </w:rPr>
      </w:pPr>
      <w:r>
        <w:rPr>
          <w:rFonts w:hint="eastAsia"/>
          <w:b/>
          <w:bCs/>
          <w:color w:val="auto"/>
          <w:szCs w:val="21"/>
        </w:rPr>
        <w:t>4.能源管理情况：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eastAsia" w:ascii="宋体" w:hAnsi="宋体"/>
          <w:szCs w:val="21"/>
        </w:rPr>
      </w:pPr>
      <w:r>
        <w:rPr>
          <w:rFonts w:hint="eastAsia" w:ascii="宋体" w:hAnsi="宋体"/>
          <w:color w:val="auto"/>
          <w:szCs w:val="21"/>
          <w:highlight w:val="none"/>
        </w:rPr>
        <w:t>企业主要耗能</w:t>
      </w:r>
      <w:r>
        <w:rPr>
          <w:rFonts w:hint="eastAsia" w:ascii="宋体" w:hAnsi="宋体"/>
          <w:color w:val="auto"/>
          <w:szCs w:val="21"/>
          <w:highlight w:val="none"/>
          <w:lang w:val="en-US" w:eastAsia="zh-CN"/>
        </w:rPr>
        <w:t>品种</w:t>
      </w:r>
      <w:r>
        <w:rPr>
          <w:rFonts w:hint="eastAsia" w:ascii="宋体" w:hAnsi="宋体"/>
          <w:color w:val="auto"/>
          <w:szCs w:val="21"/>
          <w:highlight w:val="none"/>
        </w:rPr>
        <w:t>为</w:t>
      </w:r>
      <w:r>
        <w:rPr>
          <w:rFonts w:hint="eastAsia" w:ascii="宋体" w:hAnsi="宋体"/>
          <w:color w:val="auto"/>
          <w:szCs w:val="21"/>
          <w:highlight w:val="none"/>
          <w:lang w:val="en-US" w:eastAsia="zh-CN"/>
        </w:rPr>
        <w:t>水和</w:t>
      </w:r>
      <w:r>
        <w:rPr>
          <w:rFonts w:hint="eastAsia" w:ascii="宋体" w:hAnsi="宋体"/>
          <w:color w:val="auto"/>
          <w:szCs w:val="21"/>
          <w:highlight w:val="none"/>
        </w:rPr>
        <w:t>电；20</w:t>
      </w:r>
      <w:r>
        <w:rPr>
          <w:rFonts w:ascii="宋体" w:hAnsi="宋体"/>
          <w:color w:val="auto"/>
          <w:szCs w:val="21"/>
          <w:highlight w:val="none"/>
        </w:rPr>
        <w:t>2</w:t>
      </w:r>
      <w:r>
        <w:rPr>
          <w:rFonts w:hint="eastAsia" w:ascii="宋体" w:hAnsi="宋体"/>
          <w:color w:val="auto"/>
          <w:szCs w:val="21"/>
          <w:highlight w:val="none"/>
          <w:lang w:val="en-US" w:eastAsia="zh-CN"/>
        </w:rPr>
        <w:t>1年共用水19380吨，用电210.34万度。折合260.2</w:t>
      </w:r>
      <w:r>
        <w:rPr>
          <w:rFonts w:hint="eastAsia" w:ascii="宋体" w:hAnsi="宋体"/>
          <w:color w:val="auto"/>
          <w:szCs w:val="21"/>
          <w:highlight w:val="none"/>
        </w:rPr>
        <w:t>吨标煤</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企业</w:t>
      </w:r>
      <w:r>
        <w:rPr>
          <w:rFonts w:hint="eastAsia" w:ascii="宋体" w:hAnsi="宋体"/>
          <w:color w:val="auto"/>
          <w:szCs w:val="21"/>
          <w:highlight w:val="none"/>
        </w:rPr>
        <w:t>不是重点</w:t>
      </w:r>
      <w:r>
        <w:rPr>
          <w:rFonts w:hint="eastAsia" w:ascii="宋体" w:hAnsi="宋体"/>
          <w:color w:val="auto"/>
          <w:szCs w:val="21"/>
          <w:highlight w:val="none"/>
          <w:lang w:val="en-US" w:eastAsia="zh-CN"/>
        </w:rPr>
        <w:t>用</w:t>
      </w:r>
      <w:r>
        <w:rPr>
          <w:rFonts w:hint="eastAsia" w:ascii="宋体" w:hAnsi="宋体"/>
          <w:color w:val="auto"/>
          <w:szCs w:val="21"/>
          <w:highlight w:val="none"/>
        </w:rPr>
        <w:t>能</w:t>
      </w:r>
      <w:r>
        <w:rPr>
          <w:rFonts w:hint="eastAsia" w:ascii="宋体" w:hAnsi="宋体"/>
          <w:color w:val="auto"/>
          <w:szCs w:val="21"/>
          <w:highlight w:val="none"/>
          <w:lang w:val="en-US" w:eastAsia="zh-CN"/>
        </w:rPr>
        <w:t>单位</w:t>
      </w:r>
      <w:r>
        <w:rPr>
          <w:rFonts w:hint="default" w:ascii="Times New Roman" w:hAnsi="Times New Roman" w:eastAsia="宋体" w:cs="Times New Roman"/>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对认证审核时提出的的不符合项的纠正措施情况</w:t>
      </w:r>
      <w:r>
        <w:rPr>
          <w:rFonts w:cs="宋体" w:asciiTheme="minorEastAsia" w:hAnsiTheme="minorEastAsia"/>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cs="宋体" w:asciiTheme="minorEastAsia" w:hAnsiTheme="minorEastAsia"/>
          <w:color w:val="0070C0"/>
          <w:kern w:val="0"/>
          <w:szCs w:val="21"/>
        </w:rPr>
      </w:pPr>
      <w:r>
        <w:rPr>
          <w:rFonts w:hint="eastAsia"/>
          <w:b w:val="0"/>
          <w:bCs/>
          <w:color w:val="auto"/>
          <w:szCs w:val="21"/>
          <w:highlight w:val="none"/>
          <w:lang w:val="en-US" w:eastAsia="zh-CN"/>
        </w:rPr>
        <w:t>企业上年度监督审核出具的1个不符合项为：“</w:t>
      </w:r>
      <w:r>
        <w:rPr>
          <w:rFonts w:hint="eastAsia" w:ascii="宋体" w:hAnsi="宋体" w:cs="宋体"/>
          <w:color w:val="auto"/>
          <w:kern w:val="0"/>
          <w:szCs w:val="21"/>
          <w:highlight w:val="none"/>
          <w:lang w:val="en-US" w:eastAsia="zh-CN"/>
        </w:rPr>
        <w:t>抽查质量部的测量设备校准证书，其中编号93718,1.6级（0-6）MPa的压力表，校准日期为2020.3.23，校准周期6个月，已超期，未继续溯源。</w:t>
      </w:r>
      <w:r>
        <w:rPr>
          <w:rFonts w:hint="eastAsia" w:ascii="宋体" w:hAnsi="宋体" w:cs="宋体"/>
          <w:color w:val="auto"/>
          <w:kern w:val="0"/>
          <w:szCs w:val="21"/>
          <w:highlight w:val="none"/>
        </w:rPr>
        <w:t xml:space="preserve">不符合GB/T19022-2003标准中 </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条款要求</w:t>
      </w:r>
      <w:r>
        <w:rPr>
          <w:rFonts w:hint="eastAsia" w:ascii="宋体" w:hAnsi="宋体" w:cs="宋体"/>
          <w:color w:val="auto"/>
          <w:kern w:val="0"/>
          <w:szCs w:val="21"/>
          <w:highlight w:val="none"/>
          <w:lang w:eastAsia="zh-CN"/>
        </w:rPr>
        <w:t>”</w:t>
      </w:r>
      <w:r>
        <w:rPr>
          <w:rFonts w:hint="eastAsia" w:ascii="Times New Roman" w:hAnsi="Times New Roman" w:eastAsia="宋体" w:cs="Times New Roman"/>
          <w:b w:val="0"/>
          <w:bCs w:val="0"/>
          <w:color w:val="auto"/>
          <w:szCs w:val="21"/>
          <w:highlight w:val="none"/>
          <w:lang w:val="en-US" w:eastAsia="zh-CN"/>
        </w:rPr>
        <w:t>。</w:t>
      </w:r>
      <w:r>
        <w:rPr>
          <w:rFonts w:hint="eastAsia" w:ascii="Times New Roman" w:hAnsi="Times New Roman" w:eastAsia="宋体" w:cs="Times New Roman"/>
          <w:b w:val="0"/>
          <w:bCs/>
          <w:color w:val="auto"/>
          <w:sz w:val="21"/>
          <w:szCs w:val="21"/>
          <w:highlight w:val="none"/>
          <w:shd w:val="clear" w:color="auto" w:fill="FFFFFF"/>
          <w:lang w:val="en-US" w:eastAsia="zh-CN"/>
        </w:rPr>
        <w:t>经确认企业已对该项不符合进行了原因分析，制定并实施了纠正措施，经验证不合格控制有效，不符合项关闭，符合要求</w:t>
      </w:r>
      <w:r>
        <w:rPr>
          <w:rFonts w:hint="eastAsia" w:ascii="Times New Roman" w:hAnsi="Times New Roman" w:eastAsia="宋体" w:cs="Times New Roman"/>
          <w:b w:val="0"/>
          <w:bCs w:val="0"/>
          <w:color w:val="auto"/>
          <w:szCs w:val="21"/>
          <w:highlight w:val="none"/>
          <w:lang w:val="en-US" w:eastAsia="zh-CN"/>
        </w:rPr>
        <w:t>。</w:t>
      </w:r>
      <w:r>
        <w:rPr>
          <w:rFonts w:cs="宋体" w:asciiTheme="minorEastAsia" w:hAnsiTheme="minorEastAsia"/>
          <w:color w:val="0070C0"/>
          <w:kern w:val="0"/>
          <w:szCs w:val="21"/>
        </w:rPr>
        <w:t> </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ascii="宋体" w:hAnsi="宋体" w:cs="宋体"/>
          <w:bCs/>
          <w:color w:val="0070C0"/>
          <w:kern w:val="0"/>
          <w:szCs w:val="21"/>
        </w:rPr>
      </w:pPr>
      <w:r>
        <w:rPr>
          <w:rFonts w:hint="eastAsia" w:ascii="宋体" w:hAnsi="宋体"/>
          <w:szCs w:val="21"/>
        </w:rPr>
        <w:t>企业在产品质量、物料交接、能源、安全、现场管理等方面</w:t>
      </w:r>
      <w:r>
        <w:rPr>
          <w:rFonts w:hint="eastAsia" w:ascii="宋体" w:hAnsi="宋体"/>
          <w:szCs w:val="21"/>
          <w:lang w:val="en-US" w:eastAsia="zh-CN"/>
        </w:rPr>
        <w:t>无</w:t>
      </w:r>
      <w:r>
        <w:rPr>
          <w:rFonts w:hint="eastAsia" w:ascii="宋体" w:hAnsi="宋体"/>
          <w:szCs w:val="21"/>
        </w:rPr>
        <w:t>顾客投诉、纠纷</w:t>
      </w:r>
      <w:r>
        <w:rPr>
          <w:rFonts w:hint="eastAsia" w:ascii="宋体" w:hAnsi="宋体"/>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bCs/>
          <w:kern w:val="0"/>
          <w:sz w:val="21"/>
          <w:szCs w:val="21"/>
        </w:rPr>
        <w:t>7.1</w:t>
      </w:r>
      <w:r>
        <w:rPr>
          <w:rFonts w:hint="default" w:ascii="Times New Roman" w:hAnsi="Times New Roman" w:eastAsia="宋体" w:cs="Times New Roman"/>
          <w:kern w:val="0"/>
          <w:sz w:val="21"/>
          <w:szCs w:val="21"/>
        </w:rPr>
        <w:t>.企业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Cs/>
          <w:color w:val="auto"/>
          <w:sz w:val="21"/>
          <w:szCs w:val="21"/>
          <w:highlight w:val="none"/>
        </w:rPr>
      </w:pPr>
      <w:r>
        <w:rPr>
          <w:rFonts w:hint="default" w:ascii="Times New Roman" w:hAnsi="Times New Roman" w:eastAsia="宋体" w:cs="Times New Roman"/>
          <w:b/>
          <w:bCs w:val="0"/>
          <w:color w:val="auto"/>
          <w:sz w:val="21"/>
          <w:szCs w:val="21"/>
          <w:lang w:val="en-US" w:eastAsia="zh-CN"/>
        </w:rPr>
        <w:t>7.2</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Cs w:val="21"/>
        </w:rPr>
        <w:t>可测量</w:t>
      </w:r>
      <w:r>
        <w:rPr>
          <w:rFonts w:hint="eastAsia" w:ascii="宋体" w:hAnsi="宋体"/>
          <w:bCs/>
          <w:szCs w:val="21"/>
          <w:lang w:eastAsia="zh-CN"/>
        </w:rPr>
        <w:t>，</w:t>
      </w:r>
      <w:r>
        <w:rPr>
          <w:rFonts w:hint="eastAsia" w:ascii="宋体" w:hAnsi="宋体"/>
          <w:bCs/>
          <w:szCs w:val="21"/>
          <w:lang w:val="en-US" w:eastAsia="zh-CN"/>
        </w:rPr>
        <w:t>已分解到测量管理体系</w:t>
      </w:r>
      <w:r>
        <w:rPr>
          <w:rFonts w:hint="eastAsia" w:ascii="宋体" w:hAnsi="宋体"/>
          <w:bCs/>
          <w:color w:val="auto"/>
          <w:szCs w:val="21"/>
          <w:lang w:val="en-US" w:eastAsia="zh-CN"/>
        </w:rPr>
        <w:t>涉及的5</w:t>
      </w:r>
      <w:r>
        <w:rPr>
          <w:rFonts w:hint="eastAsia" w:ascii="宋体" w:hAnsi="宋体" w:eastAsia="宋体" w:cs="宋体"/>
          <w:bCs/>
          <w:color w:val="auto"/>
          <w:sz w:val="21"/>
          <w:szCs w:val="21"/>
          <w:lang w:val="en-US" w:eastAsia="zh-CN"/>
        </w:rPr>
        <w:t>个部门，</w:t>
      </w:r>
      <w:r>
        <w:rPr>
          <w:rFonts w:hint="eastAsia" w:ascii="宋体" w:hAnsi="宋体" w:eastAsia="宋体" w:cs="宋体"/>
          <w:bCs/>
          <w:sz w:val="21"/>
          <w:szCs w:val="21"/>
          <w:highlight w:val="none"/>
        </w:rPr>
        <w:t>内容基本覆盖标准要素</w:t>
      </w:r>
      <w:r>
        <w:rPr>
          <w:rFonts w:hint="eastAsia" w:ascii="宋体" w:hAnsi="宋体" w:eastAsia="宋体" w:cs="宋体"/>
          <w:bCs/>
          <w:sz w:val="21"/>
          <w:szCs w:val="21"/>
          <w:highlight w:val="none"/>
          <w:lang w:eastAsia="zh-CN"/>
        </w:rPr>
        <w:t>。</w:t>
      </w:r>
      <w:r>
        <w:rPr>
          <w:rFonts w:hint="eastAsia" w:ascii="宋体" w:hAnsi="宋体"/>
          <w:bCs/>
          <w:color w:val="auto"/>
          <w:szCs w:val="21"/>
          <w:highlight w:val="none"/>
          <w:lang w:val="en-US" w:eastAsia="zh-CN"/>
        </w:rPr>
        <w:t>查2021年《测量管理体系质量目标完成情况统计表</w:t>
      </w:r>
      <w:r>
        <w:rPr>
          <w:rFonts w:hint="eastAsia" w:ascii="宋体" w:hAnsi="宋体"/>
          <w:color w:val="auto"/>
          <w:szCs w:val="21"/>
          <w:highlight w:val="none"/>
          <w:lang w:val="en-US" w:eastAsia="zh-CN"/>
        </w:rPr>
        <w:t>》，按季度统计，各部门的</w:t>
      </w:r>
      <w:r>
        <w:rPr>
          <w:rFonts w:hint="eastAsia" w:ascii="Times New Roman" w:hAnsi="Times New Roman" w:eastAsia="宋体" w:cs="Times New Roman"/>
          <w:bCs/>
          <w:color w:val="auto"/>
          <w:sz w:val="21"/>
          <w:szCs w:val="21"/>
          <w:highlight w:val="none"/>
          <w:lang w:val="en-US" w:eastAsia="zh-CN"/>
        </w:rPr>
        <w:t>质量目标均已完成</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val="0"/>
          <w:sz w:val="21"/>
          <w:szCs w:val="21"/>
          <w:highlight w:val="none"/>
        </w:rPr>
        <w:t>7.</w:t>
      </w:r>
      <w:r>
        <w:rPr>
          <w:rFonts w:hint="eastAsia" w:ascii="宋体" w:hAnsi="宋体" w:eastAsia="宋体" w:cs="宋体"/>
          <w:b/>
          <w:bCs w:val="0"/>
          <w:sz w:val="21"/>
          <w:szCs w:val="21"/>
          <w:highlight w:val="none"/>
          <w:lang w:val="en-US" w:eastAsia="zh-CN"/>
        </w:rPr>
        <w:t>3</w:t>
      </w:r>
      <w:r>
        <w:rPr>
          <w:rFonts w:hint="eastAsia" w:ascii="宋体" w:hAnsi="宋体" w:eastAsia="宋体" w:cs="宋体"/>
          <w:bCs/>
          <w:color w:val="000000"/>
          <w:kern w:val="0"/>
          <w:sz w:val="21"/>
          <w:szCs w:val="21"/>
          <w:highlight w:val="none"/>
          <w:lang w:val="en-US" w:eastAsia="zh-CN"/>
        </w:rPr>
        <w:t>企业本监督年度内无</w:t>
      </w:r>
      <w:r>
        <w:rPr>
          <w:rFonts w:hint="eastAsia" w:ascii="宋体" w:hAnsi="宋体" w:eastAsia="宋体" w:cs="宋体"/>
          <w:bCs/>
          <w:color w:val="auto"/>
          <w:kern w:val="0"/>
          <w:sz w:val="21"/>
          <w:szCs w:val="21"/>
          <w:highlight w:val="none"/>
          <w:lang w:val="en-US" w:eastAsia="zh-CN"/>
        </w:rPr>
        <w:t>新增供方</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default" w:ascii="Times New Roman" w:hAnsi="Times New Roman" w:eastAsia="宋体" w:cs="Times New Roman"/>
          <w:bCs/>
          <w:color w:val="auto"/>
          <w:sz w:val="21"/>
          <w:szCs w:val="21"/>
        </w:rPr>
        <w:t>查</w:t>
      </w:r>
      <w:r>
        <w:rPr>
          <w:rFonts w:hint="default" w:ascii="Times New Roman" w:hAnsi="Times New Roman" w:eastAsia="宋体" w:cs="Times New Roman"/>
          <w:bCs/>
          <w:color w:val="auto"/>
          <w:sz w:val="21"/>
          <w:szCs w:val="21"/>
          <w:lang w:val="en-US" w:eastAsia="zh-CN"/>
        </w:rPr>
        <w:t>企业的</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合格供方名录</w:t>
      </w:r>
      <w:r>
        <w:rPr>
          <w:rFonts w:hint="default" w:ascii="Times New Roman" w:hAnsi="Times New Roman" w:eastAsia="宋体" w:cs="Times New Roman"/>
          <w:bCs/>
          <w:color w:val="auto"/>
          <w:sz w:val="21"/>
          <w:szCs w:val="21"/>
        </w:rPr>
        <w:t>》，主要合格供方为</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原材物料供方</w:t>
      </w:r>
      <w:r>
        <w:rPr>
          <w:rFonts w:hint="eastAsia" w:ascii="Times New Roman" w:hAnsi="Times New Roman" w:eastAsia="宋体" w:cs="Times New Roman"/>
          <w:bCs/>
          <w:color w:val="auto"/>
          <w:sz w:val="21"/>
          <w:szCs w:val="21"/>
          <w:lang w:val="en-US" w:eastAsia="zh-CN"/>
        </w:rPr>
        <w:t>23</w:t>
      </w:r>
      <w:r>
        <w:rPr>
          <w:rFonts w:hint="default" w:ascii="Times New Roman" w:hAnsi="Times New Roman" w:eastAsia="宋体" w:cs="Times New Roman"/>
          <w:bCs/>
          <w:color w:val="auto"/>
          <w:sz w:val="21"/>
          <w:szCs w:val="21"/>
        </w:rPr>
        <w:t>家</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测量设备供方</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检定</w:t>
      </w:r>
      <w:r>
        <w:rPr>
          <w:rFonts w:hint="default" w:ascii="Times New Roman" w:hAnsi="Times New Roman" w:eastAsia="宋体" w:cs="Times New Roman"/>
          <w:bCs/>
          <w:color w:val="auto"/>
          <w:sz w:val="21"/>
          <w:szCs w:val="21"/>
          <w:highlight w:val="none"/>
          <w:lang w:val="en-US" w:eastAsia="zh-CN"/>
        </w:rPr>
        <w:t>校准服务供方</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。抽查供方评价情况</w:t>
      </w:r>
      <w:r>
        <w:rPr>
          <w:rFonts w:hint="default" w:ascii="Times New Roman" w:hAnsi="Times New Roman" w:eastAsia="宋体" w:cs="Times New Roman"/>
          <w:bCs/>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查企业已对测量设备的供方</w:t>
      </w:r>
      <w:r>
        <w:rPr>
          <w:rFonts w:hint="eastAsia"/>
          <w:color w:val="auto"/>
          <w:sz w:val="21"/>
          <w:szCs w:val="21"/>
          <w:lang w:val="en-US" w:eastAsia="zh-CN"/>
        </w:rPr>
        <w:t>“</w:t>
      </w:r>
      <w:r>
        <w:rPr>
          <w:rFonts w:hint="eastAsia" w:ascii="Times New Roman" w:hAnsi="Times New Roman" w:eastAsia="宋体" w:cs="Times New Roman"/>
          <w:bCs/>
          <w:color w:val="auto"/>
          <w:sz w:val="21"/>
          <w:szCs w:val="21"/>
          <w:highlight w:val="none"/>
          <w:lang w:val="en-US" w:eastAsia="zh-CN"/>
        </w:rPr>
        <w:t>北京德上科技有限公司</w:t>
      </w:r>
      <w:r>
        <w:rPr>
          <w:rFonts w:hint="eastAsia"/>
          <w:color w:val="auto"/>
          <w:sz w:val="21"/>
          <w:szCs w:val="21"/>
          <w:lang w:val="en-US" w:eastAsia="zh-CN"/>
        </w:rPr>
        <w:t>”等、原材物料的供方“</w:t>
      </w:r>
      <w:r>
        <w:rPr>
          <w:rFonts w:hint="eastAsia" w:ascii="Times New Roman" w:hAnsi="Times New Roman" w:eastAsia="宋体" w:cs="Times New Roman"/>
          <w:bCs/>
          <w:color w:val="auto"/>
          <w:sz w:val="21"/>
          <w:szCs w:val="21"/>
          <w:highlight w:val="none"/>
          <w:lang w:val="en-US" w:eastAsia="zh-CN"/>
        </w:rPr>
        <w:t>无锡煤科电器有限公司</w:t>
      </w:r>
      <w:r>
        <w:rPr>
          <w:rFonts w:hint="eastAsia"/>
          <w:color w:val="auto"/>
          <w:sz w:val="21"/>
          <w:szCs w:val="21"/>
          <w:lang w:val="en-US" w:eastAsia="zh-CN"/>
        </w:rPr>
        <w:t>”等进行了持续评价。评价</w:t>
      </w:r>
      <w:r>
        <w:rPr>
          <w:rFonts w:hint="eastAsia"/>
          <w:color w:val="auto"/>
          <w:sz w:val="21"/>
          <w:szCs w:val="21"/>
          <w:highlight w:val="none"/>
          <w:lang w:val="en-US" w:eastAsia="zh-CN"/>
        </w:rPr>
        <w:t>结论均为列入企业的合格供方。</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eastAsia" w:asciiTheme="minorEastAsia" w:hAnsiTheme="minorEastAsia" w:eastAsiaTheme="minorEastAsia"/>
          <w:bCs/>
          <w:color w:val="auto"/>
          <w:szCs w:val="21"/>
          <w:lang w:eastAsia="zh-CN"/>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r>
        <w:rPr>
          <w:rFonts w:hint="eastAsia" w:asciiTheme="minorEastAsia" w:hAnsiTheme="minorEastAsia"/>
          <w:b/>
          <w:bCs w:val="0"/>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rPr>
        <w:t>组织机构</w:t>
      </w:r>
      <w:r>
        <w:rPr>
          <w:rFonts w:hint="eastAsia" w:ascii="Times New Roman" w:hAnsi="Times New Roman" w:eastAsia="宋体" w:cs="Times New Roman"/>
          <w:bCs/>
          <w:color w:val="auto"/>
          <w:sz w:val="21"/>
          <w:szCs w:val="21"/>
          <w:highlight w:val="none"/>
          <w:lang w:val="en-US" w:eastAsia="zh-CN"/>
        </w:rPr>
        <w:t>未发生变更，企业的产品没有增加。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对标志的使用，符合相关标准和规定</w:t>
      </w:r>
      <w:r>
        <w:rPr>
          <w:rFonts w:hint="default" w:ascii="Times New Roman" w:hAnsi="Times New Roman" w:eastAsia="宋体"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9.2.</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420" w:firstLineChars="200"/>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kern w:val="0"/>
          <w:sz w:val="21"/>
          <w:szCs w:val="21"/>
        </w:rPr>
        <w:t>9.3企业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b w:val="0"/>
          <w:bCs w:val="0"/>
          <w:color w:val="auto"/>
          <w:kern w:val="0"/>
          <w:szCs w:val="21"/>
          <w:lang w:val="en-US" w:eastAsia="zh-CN"/>
        </w:rPr>
        <w:t>查质量部，未对检定校准服务方“济宁市计量测试所”进行持续的供方评价。不符合GB/T19022-2003标准条款“6.4外部供方”的要求</w:t>
      </w:r>
      <w:r>
        <w:rPr>
          <w:rFonts w:hint="eastAsia" w:ascii="宋体" w:hAnsi="宋体" w:cs="宋体"/>
          <w:b w:val="0"/>
          <w:bCs w:val="0"/>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color w:val="auto"/>
          <w:szCs w:val="21"/>
        </w:rPr>
      </w:pPr>
      <w:r>
        <w:rPr>
          <w:rStyle w:val="10"/>
          <w:rFonts w:hint="default" w:ascii="Times New Roman" w:hAnsi="Times New Roman" w:eastAsia="宋体" w:cs="Times New Roman"/>
          <w:color w:val="auto"/>
          <w:sz w:val="21"/>
          <w:szCs w:val="21"/>
        </w:rPr>
        <w:t>通过20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02</w:t>
      </w:r>
      <w:r>
        <w:rPr>
          <w:rStyle w:val="10"/>
          <w:rFonts w:hint="default" w:ascii="Times New Roman" w:hAnsi="Times New Roman" w:eastAsia="宋体" w:cs="Times New Roman"/>
          <w:color w:val="auto"/>
          <w:sz w:val="21"/>
          <w:szCs w:val="21"/>
        </w:rPr>
        <w:t>月</w:t>
      </w:r>
      <w:r>
        <w:rPr>
          <w:rStyle w:val="10"/>
          <w:rFonts w:hint="default" w:ascii="Times New Roman" w:hAnsi="Times New Roman" w:eastAsia="宋体" w:cs="Times New Roman"/>
          <w:color w:val="auto"/>
          <w:sz w:val="21"/>
          <w:szCs w:val="21"/>
          <w:lang w:val="en-US" w:eastAsia="zh-CN"/>
        </w:rPr>
        <w:t>28</w:t>
      </w:r>
      <w:r>
        <w:rPr>
          <w:rStyle w:val="10"/>
          <w:rFonts w:hint="default" w:ascii="Times New Roman" w:hAnsi="Times New Roman" w:eastAsia="宋体" w:cs="Times New Roman"/>
          <w:color w:val="auto"/>
          <w:sz w:val="21"/>
          <w:szCs w:val="21"/>
        </w:rPr>
        <w:t>日</w:t>
      </w:r>
      <w:r>
        <w:rPr>
          <w:rStyle w:val="10"/>
          <w:rFonts w:hint="default" w:ascii="Times New Roman" w:hAnsi="Times New Roman" w:eastAsia="宋体" w:cs="Times New Roman"/>
          <w:color w:val="auto"/>
          <w:sz w:val="21"/>
          <w:szCs w:val="21"/>
          <w:lang w:val="en-US" w:eastAsia="zh-CN"/>
        </w:rPr>
        <w:t>上午~</w:t>
      </w:r>
      <w:r>
        <w:rPr>
          <w:rStyle w:val="10"/>
          <w:rFonts w:hint="default" w:ascii="Times New Roman" w:hAnsi="Times New Roman" w:eastAsia="宋体" w:cs="Times New Roman"/>
          <w:color w:val="auto"/>
          <w:sz w:val="21"/>
          <w:szCs w:val="21"/>
        </w:rPr>
        <w:t>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03</w:t>
      </w:r>
      <w:r>
        <w:rPr>
          <w:rStyle w:val="10"/>
          <w:rFonts w:hint="default" w:ascii="Times New Roman" w:hAnsi="Times New Roman" w:eastAsia="宋体" w:cs="Times New Roman"/>
          <w:color w:val="auto"/>
          <w:sz w:val="21"/>
          <w:szCs w:val="21"/>
        </w:rPr>
        <w:t>月</w:t>
      </w:r>
      <w:r>
        <w:rPr>
          <w:rStyle w:val="10"/>
          <w:rFonts w:hint="default" w:ascii="Times New Roman" w:hAnsi="Times New Roman" w:eastAsia="宋体" w:cs="Times New Roman"/>
          <w:color w:val="auto"/>
          <w:sz w:val="21"/>
          <w:szCs w:val="21"/>
          <w:lang w:val="en-US" w:eastAsia="zh-CN"/>
        </w:rPr>
        <w:t>01</w:t>
      </w:r>
      <w:r>
        <w:rPr>
          <w:rStyle w:val="10"/>
          <w:rFonts w:hint="default" w:ascii="Times New Roman" w:hAnsi="Times New Roman" w:eastAsia="宋体" w:cs="Times New Roman"/>
          <w:color w:val="auto"/>
          <w:sz w:val="21"/>
          <w:szCs w:val="21"/>
        </w:rPr>
        <w:t>日</w:t>
      </w:r>
      <w:r>
        <w:rPr>
          <w:rStyle w:val="10"/>
          <w:rFonts w:hint="default" w:ascii="Times New Roman" w:hAnsi="Times New Roman" w:eastAsia="宋体" w:cs="Times New Roman"/>
          <w:color w:val="auto"/>
          <w:sz w:val="21"/>
          <w:szCs w:val="21"/>
          <w:lang w:val="en-US" w:eastAsia="zh-CN"/>
        </w:rPr>
        <w:t>上午</w:t>
      </w:r>
      <w:r>
        <w:rPr>
          <w:rStyle w:val="10"/>
          <w:rFonts w:hint="default" w:ascii="Times New Roman" w:hAnsi="Times New Roman" w:eastAsia="宋体" w:cs="Times New Roman"/>
          <w:color w:val="auto"/>
          <w:sz w:val="21"/>
          <w:szCs w:val="21"/>
        </w:rPr>
        <w:t>对</w:t>
      </w:r>
      <w:r>
        <w:rPr>
          <w:rFonts w:hint="default" w:ascii="Times New Roman" w:hAnsi="Times New Roman" w:eastAsia="宋体" w:cs="Times New Roman"/>
          <w:sz w:val="21"/>
          <w:szCs w:val="21"/>
          <w:u w:val="none"/>
        </w:rPr>
        <w:t>山东心传矿山机电设备有限公司</w:t>
      </w:r>
      <w:r>
        <w:rPr>
          <w:rFonts w:hint="default" w:ascii="Times New Roman" w:hAnsi="Times New Roman" w:eastAsia="宋体" w:cs="Times New Roman"/>
          <w:color w:val="auto"/>
          <w:sz w:val="21"/>
          <w:szCs w:val="21"/>
          <w:u w:val="none"/>
          <w:lang w:val="en-US" w:eastAsia="zh-CN"/>
        </w:rPr>
        <w:t>的</w:t>
      </w:r>
      <w:r>
        <w:rPr>
          <w:rStyle w:val="10"/>
          <w:rFonts w:hint="default" w:ascii="Times New Roman" w:hAnsi="Times New Roman" w:eastAsia="宋体" w:cs="Times New Roman"/>
          <w:color w:val="auto"/>
          <w:sz w:val="21"/>
          <w:szCs w:val="21"/>
          <w:u w:val="none"/>
        </w:rPr>
        <w:t>监督审核</w:t>
      </w:r>
      <w:r>
        <w:rPr>
          <w:rStyle w:val="10"/>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rPr>
        <w:t>验证了</w:t>
      </w:r>
      <w:r>
        <w:rPr>
          <w:rFonts w:hint="default" w:ascii="Times New Roman" w:hAnsi="Times New Roman" w:eastAsia="宋体" w:cs="Times New Roman"/>
          <w:bCs/>
          <w:kern w:val="0"/>
          <w:sz w:val="21"/>
          <w:szCs w:val="21"/>
        </w:rPr>
        <w:t>公司测量管理体系在</w:t>
      </w:r>
      <w:r>
        <w:rPr>
          <w:rFonts w:hint="default" w:ascii="Times New Roman" w:hAnsi="Times New Roman" w:eastAsia="宋体" w:cs="Times New Roman"/>
          <w:bCs/>
          <w:kern w:val="0"/>
          <w:sz w:val="21"/>
          <w:szCs w:val="21"/>
          <w:lang w:val="en-US" w:eastAsia="zh-CN"/>
        </w:rPr>
        <w:t>上年度监督审核至今</w:t>
      </w:r>
      <w:r>
        <w:rPr>
          <w:rFonts w:hint="default" w:ascii="Times New Roman" w:hAnsi="Times New Roman" w:eastAsia="宋体" w:cs="Times New Roman"/>
          <w:bCs/>
          <w:kern w:val="0"/>
          <w:sz w:val="21"/>
          <w:szCs w:val="21"/>
        </w:rPr>
        <w:t>一年内</w:t>
      </w:r>
      <w:r>
        <w:rPr>
          <w:rFonts w:hint="default" w:ascii="Times New Roman" w:hAnsi="Times New Roman" w:eastAsia="宋体" w:cs="Times New Roman"/>
          <w:bCs/>
          <w:color w:val="auto"/>
          <w:sz w:val="21"/>
          <w:szCs w:val="21"/>
        </w:rPr>
        <w:t>测量管理体系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r>
        <w:rPr>
          <w:rFonts w:hint="default" w:ascii="Times New Roman" w:hAnsi="Times New Roman" w:eastAsia="宋体" w:cs="Times New Roman"/>
          <w:color w:val="auto"/>
          <w:szCs w:val="21"/>
        </w:rPr>
        <w:t>公司领导重视体系</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运行和管理，体系文件得到有效实施，企业管理规范，</w:t>
      </w:r>
      <w:r>
        <w:rPr>
          <w:rFonts w:hint="default" w:ascii="Times New Roman" w:hAnsi="Times New Roman" w:eastAsia="宋体" w:cs="Times New Roman"/>
          <w:bCs/>
          <w:kern w:val="0"/>
          <w:sz w:val="21"/>
          <w:szCs w:val="21"/>
        </w:rPr>
        <w:t>关键测量过程</w:t>
      </w:r>
      <w:r>
        <w:rPr>
          <w:rFonts w:hint="default" w:ascii="Times New Roman" w:hAnsi="Times New Roman" w:eastAsia="宋体" w:cs="Times New Roman"/>
          <w:bCs/>
          <w:kern w:val="0"/>
          <w:sz w:val="21"/>
          <w:szCs w:val="21"/>
          <w:lang w:val="en-US" w:eastAsia="zh-CN"/>
        </w:rPr>
        <w:t>得到</w:t>
      </w:r>
      <w:r>
        <w:rPr>
          <w:rFonts w:hint="default" w:ascii="Times New Roman" w:hAnsi="Times New Roman" w:eastAsia="宋体" w:cs="Times New Roman"/>
          <w:bCs/>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eastAsia" w:ascii="宋体" w:hAnsi="宋体"/>
          <w:color w:val="auto"/>
          <w:szCs w:val="21"/>
        </w:rPr>
      </w:pPr>
      <w:r>
        <w:rPr>
          <w:rFonts w:hint="default" w:ascii="Times New Roman" w:hAnsi="Times New Roman" w:eastAsia="宋体" w:cs="Times New Roman"/>
          <w:color w:val="auto"/>
          <w:szCs w:val="21"/>
        </w:rPr>
        <w:t>测量软件、测量记录等各项工作</w:t>
      </w:r>
      <w:r>
        <w:rPr>
          <w:rFonts w:hint="default" w:ascii="Times New Roman" w:hAnsi="Times New Roman" w:eastAsia="宋体" w:cs="Times New Roman"/>
          <w:bCs/>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hint="default" w:ascii="Times New Roman" w:hAnsi="Times New Roman" w:eastAsia="宋体" w:cs="Times New Roman"/>
          <w:sz w:val="21"/>
          <w:szCs w:val="21"/>
          <w:u w:val="none"/>
        </w:rPr>
        <w:t>山东</w:t>
      </w:r>
      <w:r>
        <w:rPr>
          <w:rFonts w:ascii="宋体" w:hAnsi="宋体"/>
          <w:sz w:val="21"/>
          <w:szCs w:val="21"/>
          <w:u w:val="none"/>
        </w:rPr>
        <w:t>心传矿山机电设备有限公司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w:t>
      </w:r>
      <w:r>
        <w:rPr>
          <w:rFonts w:hint="eastAsia" w:ascii="宋体" w:hAnsi="宋体"/>
          <w:color w:val="auto"/>
          <w:szCs w:val="21"/>
          <w:lang w:val="en-US" w:eastAsia="zh-CN"/>
        </w:rPr>
        <w:t>19022-2003</w:t>
      </w:r>
      <w:r>
        <w:rPr>
          <w:rFonts w:hint="eastAsia" w:ascii="宋体" w:hAnsi="宋体"/>
          <w:color w:val="auto"/>
          <w:szCs w:val="21"/>
        </w:rPr>
        <w:t>标准要求，对体系运行具有持续的有效性、符合性予以肯定。建议报请北京国标联合认证有限公司批准通过</w:t>
      </w:r>
      <w:r>
        <w:rPr>
          <w:rFonts w:hint="eastAsia" w:ascii="宋体" w:hAnsi="宋体"/>
          <w:color w:val="auto"/>
          <w:szCs w:val="21"/>
          <w:lang w:val="en-US" w:eastAsia="zh-CN"/>
        </w:rPr>
        <w:t>2022年度的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加强标准的学习和宣贯，提升企业的管理水平；</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1、加强检验人员的检验技能培训</w:t>
      </w:r>
      <w:r>
        <w:rPr>
          <w:rFonts w:hint="eastAsia" w:asciiTheme="minorEastAsia" w:hAnsiTheme="minorEastAsia"/>
          <w:bCs/>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2、加强测量设备的管理，仔细确认检定校准证书的信息；</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default" w:asciiTheme="minorEastAsia" w:hAnsiTheme="minorEastAsia"/>
          <w:bCs/>
          <w:szCs w:val="21"/>
          <w:lang w:val="en-US" w:eastAsia="zh-CN"/>
        </w:rPr>
      </w:pPr>
    </w:p>
    <w:p>
      <w:pPr>
        <w:widowControl/>
        <w:spacing w:line="360" w:lineRule="auto"/>
        <w:jc w:val="left"/>
        <w:rPr>
          <w:rFonts w:ascii="宋体" w:hAnsi="宋体" w:cs="宋体"/>
          <w:kern w:val="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1353820</wp:posOffset>
            </wp:positionH>
            <wp:positionV relativeFrom="paragraph">
              <wp:posOffset>253365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2022年03月01日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B2158"/>
    <w:rsid w:val="01F36FCC"/>
    <w:rsid w:val="02FC6355"/>
    <w:rsid w:val="0328714A"/>
    <w:rsid w:val="033A0C2B"/>
    <w:rsid w:val="042C2C6A"/>
    <w:rsid w:val="04EB194C"/>
    <w:rsid w:val="072D11D3"/>
    <w:rsid w:val="08034F89"/>
    <w:rsid w:val="098D5F59"/>
    <w:rsid w:val="09D4008F"/>
    <w:rsid w:val="0A894972"/>
    <w:rsid w:val="0BC83278"/>
    <w:rsid w:val="0C6C62F9"/>
    <w:rsid w:val="0E2B5D40"/>
    <w:rsid w:val="0E4312DC"/>
    <w:rsid w:val="10E36DA6"/>
    <w:rsid w:val="119012BC"/>
    <w:rsid w:val="11A025A1"/>
    <w:rsid w:val="11B07752"/>
    <w:rsid w:val="11FA6155"/>
    <w:rsid w:val="16361726"/>
    <w:rsid w:val="166D339A"/>
    <w:rsid w:val="16E318AE"/>
    <w:rsid w:val="17235FC3"/>
    <w:rsid w:val="1ABC044C"/>
    <w:rsid w:val="1C9F4621"/>
    <w:rsid w:val="1E960FB4"/>
    <w:rsid w:val="1F9C4CF0"/>
    <w:rsid w:val="208C266E"/>
    <w:rsid w:val="20C444FE"/>
    <w:rsid w:val="21967DDB"/>
    <w:rsid w:val="249935AC"/>
    <w:rsid w:val="25056E93"/>
    <w:rsid w:val="254C061E"/>
    <w:rsid w:val="256516E0"/>
    <w:rsid w:val="256D5191"/>
    <w:rsid w:val="28A10C81"/>
    <w:rsid w:val="29F00112"/>
    <w:rsid w:val="2B2F07C6"/>
    <w:rsid w:val="2B512E32"/>
    <w:rsid w:val="2FB27C17"/>
    <w:rsid w:val="2FC324F5"/>
    <w:rsid w:val="31F2079F"/>
    <w:rsid w:val="33AA7583"/>
    <w:rsid w:val="34337579"/>
    <w:rsid w:val="34D523DE"/>
    <w:rsid w:val="35773495"/>
    <w:rsid w:val="367E66FF"/>
    <w:rsid w:val="36B204FD"/>
    <w:rsid w:val="37144D14"/>
    <w:rsid w:val="37AD13F0"/>
    <w:rsid w:val="39047736"/>
    <w:rsid w:val="399C171C"/>
    <w:rsid w:val="3A217E73"/>
    <w:rsid w:val="3AED7D56"/>
    <w:rsid w:val="3B9F72A2"/>
    <w:rsid w:val="3BE455FD"/>
    <w:rsid w:val="3C2105FF"/>
    <w:rsid w:val="3C990195"/>
    <w:rsid w:val="3F4E170B"/>
    <w:rsid w:val="41720FB5"/>
    <w:rsid w:val="420A5691"/>
    <w:rsid w:val="429F2F01"/>
    <w:rsid w:val="43054408"/>
    <w:rsid w:val="43E12A1B"/>
    <w:rsid w:val="45336CAD"/>
    <w:rsid w:val="45F64E69"/>
    <w:rsid w:val="47462CC7"/>
    <w:rsid w:val="476E1150"/>
    <w:rsid w:val="4ACA1E61"/>
    <w:rsid w:val="4C5365B2"/>
    <w:rsid w:val="4D4E6D7A"/>
    <w:rsid w:val="4E55759D"/>
    <w:rsid w:val="4F3124AF"/>
    <w:rsid w:val="4FC41575"/>
    <w:rsid w:val="5023629C"/>
    <w:rsid w:val="52693E64"/>
    <w:rsid w:val="52DB10B0"/>
    <w:rsid w:val="54C33BA9"/>
    <w:rsid w:val="54DB5397"/>
    <w:rsid w:val="56440D1A"/>
    <w:rsid w:val="56ED315F"/>
    <w:rsid w:val="57770C7B"/>
    <w:rsid w:val="589C07F4"/>
    <w:rsid w:val="58F22CAF"/>
    <w:rsid w:val="59DB3743"/>
    <w:rsid w:val="5B6065F6"/>
    <w:rsid w:val="5C702869"/>
    <w:rsid w:val="5CA42512"/>
    <w:rsid w:val="5F3C6A79"/>
    <w:rsid w:val="5FAC3308"/>
    <w:rsid w:val="5FC1162D"/>
    <w:rsid w:val="604F6C39"/>
    <w:rsid w:val="63DA3BD9"/>
    <w:rsid w:val="64300B94"/>
    <w:rsid w:val="64FB738F"/>
    <w:rsid w:val="65B71508"/>
    <w:rsid w:val="65F20792"/>
    <w:rsid w:val="6773320D"/>
    <w:rsid w:val="693D7F76"/>
    <w:rsid w:val="6A745C1A"/>
    <w:rsid w:val="6BDA3F4C"/>
    <w:rsid w:val="6D417909"/>
    <w:rsid w:val="6D6B4986"/>
    <w:rsid w:val="6DEA7FA1"/>
    <w:rsid w:val="6DEC1F6B"/>
    <w:rsid w:val="6E0472B5"/>
    <w:rsid w:val="6EDA6DB9"/>
    <w:rsid w:val="6F0532E4"/>
    <w:rsid w:val="6F235519"/>
    <w:rsid w:val="70DE203F"/>
    <w:rsid w:val="71BF3AA2"/>
    <w:rsid w:val="73EF4563"/>
    <w:rsid w:val="74820F33"/>
    <w:rsid w:val="75412B9C"/>
    <w:rsid w:val="765B1A3C"/>
    <w:rsid w:val="768076F4"/>
    <w:rsid w:val="76D67314"/>
    <w:rsid w:val="7A6F5AB6"/>
    <w:rsid w:val="7A7430CC"/>
    <w:rsid w:val="7AA634A2"/>
    <w:rsid w:val="7C045A85"/>
    <w:rsid w:val="7D1F7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Char"/>
    <w:basedOn w:val="5"/>
    <w:link w:val="2"/>
    <w:qFormat/>
    <w:uiPriority w:val="99"/>
    <w:rPr>
      <w:sz w:val="18"/>
      <w:szCs w:val="18"/>
    </w:rPr>
  </w:style>
  <w:style w:type="character" w:customStyle="1" w:styleId="7">
    <w:name w:val="页脚 Char"/>
    <w:basedOn w:val="5"/>
    <w:link w:val="3"/>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2022-03-01T00:42:46Z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D78B0B4719E849D5AED75CC6AB8B98D0</vt:lpwstr>
  </property>
</Properties>
</file>