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北京景达生物科技有限公司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34.03.01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34.03.01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生产工艺/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实现流程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</w:rPr>
              <w:t>研发流程：客户提要求——客户沟通——立项——需求分析——出具研究方案——客户审核——订合同——下达研发指令——实验——测试——客户确认——交付使用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设计开发过程为关键过程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药品注册管理办法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国家市场监督管理总局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附录-细胞治疗产品（征求意见 稿）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药品审核查验中心（CFDI）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人基因治疗研究和制剂质量控制 技术指导原则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药品审评中心（CDE）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人体细胞治疗研究和制剂质量控 制技术指导原则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药品审评中心（CDE）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生物医学新技术临床应用管理条 例（征求意见稿）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卫健委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生物技术研究开发安全管理条例 （征求意见稿）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科技部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免疫细胞治疗产品临床试验技术 指导原则（试行）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CDE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基因修饰细胞治疗产品非临床研 究与评价技术指导原则（试行）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CDE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602" w:firstLineChars="3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按照标准进行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符合合同及法规要求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53340</wp:posOffset>
                  </wp:positionV>
                  <wp:extent cx="847725" cy="368300"/>
                  <wp:effectExtent l="0" t="0" r="3175" b="0"/>
                  <wp:wrapNone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-486410</wp:posOffset>
                  </wp:positionV>
                  <wp:extent cx="847725" cy="368300"/>
                  <wp:effectExtent l="0" t="0" r="317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北京景达生物科技有限公司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:34.03.01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:34.03.01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实现流程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研发流程：客户提要求——客户沟通——立项——需求分析——出具研究方案——客户审核——订合同——下达研发指令——实验——测试——客户确认——交付使用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关键过程及特殊过程：产品设计过程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主要控制要求：人员能力、人员培训、设计手册、设计工具等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提</w:t>
            </w: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供的“环境因素识别评价表”“重要环境因素清单”， 评价考虑了三种时态现在、过去、将来、三种状态、异常、正常、紧急考虑了法律法规，并进行了评价，识别技术管理过程，用打分法考虑了法规符合性、发生频次、影响范围等, 通过定性判断法，共识别出重大环境因素2项：固废排放、火灾，评价符合程序要求及公司的实际情况。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大气污染物综合排放标准、污水综合排放标准、工业企业厂界噪声标准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一般工业固体废物贮存、处置场污染控制标准</w:t>
            </w: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北京景达生物科技有限公司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:34.03.01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:34.03.01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实现流程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研发流程：客户提要求——客户沟通——立项——需求分析——出具研究方案——客户审核——订合同——下达研发指令——实验——测试——客户确认——交付使用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关键过程及特殊过程：产品设计过程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主要控制要求：人员能力、人员培训、设计手册、设计工具等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编制了《危险源辨识和风险评价程序》，采用危险源级别判定标准，规定不可接受风险判定。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提供《危险源辨识和风险评价表》对生产生产各过程和办公活动分别进行辨识，考虑了触电、职业病伤害、意外伤害、火灾等方面；从过去、现在、将来三种时态；正常、异常和紧急三种状态识别危险源。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本部门识别的各区域危险源有：触电、意外伤害、职业病、火灾、机械伤害等。不可接受风险识别有：火灾、意外伤害、触电。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"法律/中华人民共和国劳动法.DOC"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中华人民共和国劳动法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"法律/中华人民共和国消防法.doc"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中华人民共和国消</w:t>
            </w:r>
            <w:bookmarkStart w:id="3" w:name="_Hlt226628073"/>
            <w:bookmarkStart w:id="4" w:name="_Hlt226628074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防</w:t>
            </w:r>
            <w:bookmarkEnd w:id="3"/>
            <w:bookmarkEnd w:id="4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"法律/中华人民共和国安全生产法.doc"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中华人民共和国安全生产法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"法律/中华人民共和国妇女权益保障法.DOC"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中华人民共和国妇女权益保障法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"法律/中华人民共和国未成年人保护法.DOC"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中华人民共和国未成年人保护法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"法律/中华人民共和国突发事件应对法.doc"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</w:t>
            </w:r>
            <w:bookmarkStart w:id="5" w:name="_Hlt202798386"/>
            <w:bookmarkStart w:id="6" w:name="_Hlt202798418"/>
            <w:bookmarkStart w:id="7" w:name="_Hlt202798385"/>
            <w:bookmarkStart w:id="8" w:name="_Hlt202798419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突</w:t>
            </w:r>
            <w:bookmarkEnd w:id="5"/>
            <w:bookmarkEnd w:id="6"/>
            <w:bookmarkEnd w:id="7"/>
            <w:bookmarkEnd w:id="8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发事</w:t>
            </w:r>
            <w:bookmarkStart w:id="9" w:name="_Hlt202798397"/>
            <w:bookmarkStart w:id="10" w:name="_Hlt202798398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件</w:t>
            </w:r>
            <w:bookmarkEnd w:id="9"/>
            <w:bookmarkEnd w:id="10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应对法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"法律/中华人民共和国传染病防治法.doc"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中华人民共和国传</w:t>
            </w:r>
            <w:bookmarkStart w:id="11" w:name="_Hlt202801267"/>
            <w:bookmarkStart w:id="12" w:name="_Hlt202801268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染</w:t>
            </w:r>
            <w:bookmarkEnd w:id="11"/>
            <w:bookmarkEnd w:id="12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病</w:t>
            </w:r>
            <w:bookmarkStart w:id="13" w:name="_Hlt202801122"/>
            <w:bookmarkStart w:id="14" w:name="_Hlt202801121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防</w:t>
            </w:r>
            <w:bookmarkEnd w:id="13"/>
            <w:bookmarkEnd w:id="14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2022.3.4</w:t>
            </w:r>
            <w:bookmarkStart w:id="15" w:name="_GoBack"/>
            <w:bookmarkEnd w:id="15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47478B6"/>
    <w:rsid w:val="0DB578D0"/>
    <w:rsid w:val="14B154D8"/>
    <w:rsid w:val="28EC7580"/>
    <w:rsid w:val="2AB003D9"/>
    <w:rsid w:val="5B735FC6"/>
    <w:rsid w:val="73127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3">
    <w:name w:val="Subtitle"/>
    <w:basedOn w:val="1"/>
    <w:next w:val="1"/>
    <w:qFormat/>
    <w:locked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2022-03-09T11:58:06Z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