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</w:t>
            </w:r>
            <w:bookmarkStart w:id="2" w:name="_GoBack"/>
            <w:r>
              <w:rPr>
                <w:szCs w:val="21"/>
              </w:rPr>
              <w:t>市万恒石油科技</w:t>
            </w:r>
            <w:bookmarkEnd w:id="2"/>
            <w:r>
              <w:rPr>
                <w:szCs w:val="21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02519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HY2865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油管螺纹规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27/8″TBG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工具显微镜U=0.002mmk=2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08441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黑龙江华馨检测科技有限公司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黑龙江华馨检测科技有限公司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4462780</wp:posOffset>
                  </wp:positionH>
                  <wp:positionV relativeFrom="paragraph">
                    <wp:posOffset>120015</wp:posOffset>
                  </wp:positionV>
                  <wp:extent cx="573405" cy="248285"/>
                  <wp:effectExtent l="0" t="0" r="10795" b="5715"/>
                  <wp:wrapNone/>
                  <wp:docPr id="2" name="图片 3" descr="D:\桌面\mmexport158630555644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D:\桌面\mmexport158630555644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71CCE"/>
    <w:rsid w:val="23ED6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2022-02-27T01:42:48Z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D298686C9CF44F5FBF0F1E385896C205</vt:lpwstr>
  </property>
</Properties>
</file>