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>RB/T 121-2016 能源管理体系 建材企业（不含水泥、玻璃、陶瓷）认证要求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4.4.条款；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李德金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ISO50001:2018标准4.2）条款、</w:t>
            </w:r>
            <w:r>
              <w:rPr>
                <w:rFonts w:hint="eastAsia" w:ascii="宋体" w:hAnsi="宋体"/>
                <w:sz w:val="24"/>
                <w:lang w:val="de-DE"/>
              </w:rPr>
              <w:t>RB/T 121-2016 能源管理体系 建材企业（不含水泥、玻璃、陶瓷）认证要求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4.4.2条款确保获取与其能源效率、能源使用和能源消耗有关的适用的法律法规及其他要求。使其了解标准的内容。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吴传友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2022.3.8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1524B49"/>
    <w:rsid w:val="44CA021A"/>
    <w:rsid w:val="484E6BEE"/>
    <w:rsid w:val="4D4D62F7"/>
    <w:rsid w:val="51241391"/>
    <w:rsid w:val="6EFE430C"/>
    <w:rsid w:val="6FE62FEE"/>
    <w:rsid w:val="719E6C8F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2022-03-06T08:47:26Z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