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Cs w:val="21"/>
        </w:rPr>
      </w:pPr>
      <w:r>
        <w:rPr>
          <w:rFonts w:hint="eastAsia" w:ascii="隶书" w:hAnsi="宋体" w:eastAsia="隶书"/>
          <w:bCs/>
          <w:color w:val="000000"/>
          <w:szCs w:val="21"/>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77"/>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77"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cs="宋体"/>
                <w:sz w:val="24"/>
                <w:szCs w:val="24"/>
                <w:lang w:val="en-US" w:eastAsia="zh-CN"/>
              </w:rPr>
              <w:t>管理层</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主</w:t>
            </w:r>
            <w:r>
              <w:rPr>
                <w:rFonts w:hint="eastAsia" w:ascii="宋体" w:hAnsi="宋体" w:eastAsia="宋体" w:cs="宋体"/>
                <w:sz w:val="24"/>
                <w:szCs w:val="24"/>
                <w:lang w:val="en-US" w:eastAsia="zh-CN"/>
              </w:rPr>
              <w:t>管领导：陈龙            陪同人员：</w:t>
            </w:r>
            <w:r>
              <w:rPr>
                <w:rFonts w:hint="eastAsia" w:ascii="宋体" w:hAnsi="宋体" w:cs="宋体"/>
                <w:sz w:val="24"/>
                <w:szCs w:val="24"/>
                <w:lang w:val="en-US" w:eastAsia="zh-CN"/>
              </w:rPr>
              <w:t>吴传友</w:t>
            </w:r>
          </w:p>
        </w:tc>
        <w:tc>
          <w:tcPr>
            <w:tcW w:w="71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77"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cs="宋体"/>
                <w:sz w:val="24"/>
                <w:szCs w:val="24"/>
                <w:lang w:val="en-US" w:eastAsia="zh-CN"/>
              </w:rPr>
              <w:t>周涛、潘荣君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w:t>
            </w:r>
          </w:p>
        </w:tc>
        <w:tc>
          <w:tcPr>
            <w:tcW w:w="71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vMerge w:val="continue"/>
            <w:vAlign w:val="center"/>
          </w:tcPr>
          <w:p/>
        </w:tc>
        <w:tc>
          <w:tcPr>
            <w:tcW w:w="960" w:type="dxa"/>
            <w:vMerge w:val="continue"/>
            <w:vAlign w:val="center"/>
          </w:tcPr>
          <w:p/>
        </w:tc>
        <w:tc>
          <w:tcPr>
            <w:tcW w:w="10877" w:type="dxa"/>
            <w:vAlign w:val="center"/>
          </w:tcPr>
          <w:p>
            <w:pPr>
              <w:rPr>
                <w:sz w:val="24"/>
                <w:szCs w:val="24"/>
              </w:rPr>
            </w:pPr>
            <w:r>
              <w:rPr>
                <w:rFonts w:hint="eastAsia"/>
                <w:sz w:val="24"/>
                <w:szCs w:val="24"/>
              </w:rPr>
              <w:t>审核条款：</w:t>
            </w:r>
            <w:r>
              <w:rPr>
                <w:rFonts w:hint="eastAsia" w:ascii="宋体" w:hAnsi="宋体" w:eastAsia="宋体" w:cs="宋体"/>
                <w:b w:val="0"/>
                <w:bCs w:val="0"/>
                <w:color w:val="auto"/>
                <w:sz w:val="24"/>
                <w:szCs w:val="24"/>
                <w:u w:val="none"/>
                <w:lang w:val="en-US" w:eastAsia="zh-CN"/>
              </w:rPr>
              <w:t>4.1 理解组织及其所处的环境、4.2理解相关方的需求和期望、4.3 确定能源管理体系的范围、4.4 能源管理体系、5.1 领导作用和承诺、5.2 能源方针、5.3 组织的岗位、职责和权限、6.1 应对风险和机遇的措施、6.3 能源评审、6.6 采集能源数据的策划、7.1 资源、8.1 运行的策划和控制、9.3 管理评审。能源管理体系变化情况、证书使用情况、政府部门抽查情况；</w:t>
            </w:r>
          </w:p>
        </w:tc>
        <w:tc>
          <w:tcPr>
            <w:tcW w:w="71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left"/>
            </w:pPr>
            <w:r>
              <w:rPr>
                <w:rFonts w:hint="eastAsia" w:ascii="宋体" w:hAnsi="宋体" w:eastAsia="宋体" w:cs="宋体"/>
                <w:b w:val="0"/>
                <w:bCs w:val="0"/>
                <w:color w:val="auto"/>
                <w:sz w:val="24"/>
                <w:szCs w:val="24"/>
                <w:lang w:val="en-US" w:eastAsia="zh-CN"/>
              </w:rPr>
              <w:t>理解组织及其所处的环境</w:t>
            </w:r>
          </w:p>
        </w:tc>
        <w:tc>
          <w:tcPr>
            <w:tcW w:w="9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w:t>
            </w:r>
          </w:p>
          <w:p>
            <w:pPr>
              <w:jc w:val="left"/>
              <w:rPr>
                <w:rFonts w:hint="eastAsia" w:ascii="宋体" w:hAnsi="宋体" w:eastAsia="宋体" w:cs="宋体"/>
                <w:b w:val="0"/>
                <w:bCs w:val="0"/>
                <w:color w:val="auto"/>
                <w:sz w:val="24"/>
                <w:szCs w:val="24"/>
                <w:u w:val="none"/>
                <w:lang w:val="en-US" w:eastAsia="zh-CN"/>
              </w:rPr>
            </w:pPr>
          </w:p>
        </w:tc>
        <w:tc>
          <w:tcPr>
            <w:tcW w:w="10877" w:type="dxa"/>
            <w:vAlign w:val="top"/>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襄阳华壁新型建材有限公司位于襄阳市襄城经济开发区，是一家综合利用粉煤灰、磷石膏等固废物生产销售加气混凝土砌块、加气板材的绿色新型节能建材企业。成立于2010年8月，现有员工63人，是整个鄂西北地区砌块类墙材企业中设施设备最先进、产销规模最大、市场认可度最高、产品类型最齐全的加气混凝土砌块生产企业，产品占据整个鄂西北地区市场份额的40%以上。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公司是国家三星级绿色建材评价标识达标单位；国家职业卫生健康、环境管理、质量管理体系建设规范化达标单位；襄阳市安全生产标准化三级企业；襄阳市守合同重信用企业；襄阳市战略新兴产业龙头企业；襄阳市建筑节能先进单位；全国新型墙体材料节能减排示范单位；湖北省资源综合利用企业；湖北省循环经济协会常务理事单位；湖北省墙体材料行业协会副会长单位；是襄阳市墙材类首家湖北省高新技术企业；襄阳市墙材企业中首家取得了环保部门颁发的排放许可证单位、且历次环保专项检查中全部通过的加气砌块生产企业，2019年被认定为湖北省支柱产业细分领域隐形冠军培育企业。</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建厂以来，公司抓住我市创建省域副中心城市，建设“四个襄阳”的发展机遇，在新型砌块墙材领域深耕市场、不断创新，品牌形象不断提升，生产经营不断壮大， 2018年实现销售收入5610万元，实现利润897万元， 上交各项税收542万元；2019年实现销售收入10003万元，实现利润1607万元， 上交各项税收1099万元。2020年实现销售收入10225万元，实现利润1766万元， 上交各项税收1105万元。截止2020年底资产总计14098万元，其中固定资产合计6415万元。</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凭借优质的服务和良好的口碑，“华壁”牌加气块产品已占据我市墙体建筑市场40%以上的市场份额，并渗透发展到十堰、随州、荆州、荆门，河南南阳、陕西安康等周边地市，深受广大客户的青睐。已与包括恒大集团、绿地集团、中电建、中国建筑、中建三局集团、湖北北龙建设集团、广东碧桂园房产开发有限公司等国内顶级开发建筑商建立了合作关系，成为我市房地产领先企业砌块墙材产品优质供应服务商，共同鼎力打造了一个又一个重点市政项目、精品安居工程和民生工程。在市政工程上，如襄阳市中心医院项目、市行政服务中心项目、市图书馆、科技馆项目，市汽车职业技术学院项目、襄阳大学城项目等市政建设工程；在住宅建设及商业开发上，如恒大集团恒大名都项目、紫光集团清华园项目、山水檀溪山水家园项目、民发集团民发天地、民发世界城项目、武当山三丰广场、太极养生园项目等；同时在襄阳主城区及周边还供应了市政规划建设的许多还建房、廉租房、和经济适用房项目，担当了打造我市卧龙、伊集特色乡镇建设、东津世纪城襄阳新中心建设、东津高铁站建设、以及襄阳唐城、庞公、习家池旅游片区的开发建设，成为推动我市绿色建材产品推广应用打造绿色襄阳的主力军。</w:t>
            </w:r>
          </w:p>
        </w:tc>
        <w:tc>
          <w:tcPr>
            <w:tcW w:w="712" w:type="dxa"/>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理解相关方的需求和期望</w:t>
            </w: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jc w:val="left"/>
              <w:rPr>
                <w:rFonts w:hint="eastAsia" w:ascii="宋体" w:hAnsi="宋体" w:eastAsia="宋体" w:cs="宋体"/>
                <w:b w:val="0"/>
                <w:bCs w:val="0"/>
                <w:color w:val="auto"/>
                <w:sz w:val="24"/>
                <w:szCs w:val="24"/>
                <w:lang w:val="en-US" w:eastAsia="zh-CN"/>
              </w:rPr>
            </w:pPr>
          </w:p>
          <w:p>
            <w:pPr>
              <w:numPr>
                <w:ilvl w:val="0"/>
                <w:numId w:val="0"/>
              </w:numPr>
              <w:ind w:leftChars="0"/>
              <w:rPr>
                <w:rFonts w:hint="eastAsia" w:ascii="宋体" w:hAnsi="宋体" w:eastAsia="宋体" w:cs="宋体"/>
                <w:b/>
                <w:bCs/>
                <w:sz w:val="24"/>
                <w:szCs w:val="24"/>
              </w:rPr>
            </w:pPr>
            <w:r>
              <w:rPr>
                <w:rFonts w:hint="eastAsia" w:ascii="宋体" w:hAnsi="宋体" w:eastAsia="宋体" w:cs="宋体"/>
                <w:b/>
                <w:bCs/>
                <w:sz w:val="24"/>
                <w:szCs w:val="24"/>
              </w:rPr>
              <w:t>法律法规和其他要求</w:t>
            </w:r>
          </w:p>
          <w:p>
            <w:pPr>
              <w:jc w:val="left"/>
            </w:pPr>
          </w:p>
        </w:tc>
        <w:tc>
          <w:tcPr>
            <w:tcW w:w="960"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4.2 </w:t>
            </w:r>
          </w:p>
          <w:p>
            <w:pPr>
              <w:jc w:val="left"/>
            </w:pPr>
          </w:p>
        </w:tc>
        <w:tc>
          <w:tcPr>
            <w:tcW w:w="10877"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编制了《相关方及其需求清单》包括与能源绩效和EnMS有关的利益关系方及其需要的内容、及监视和评审记录基本有效、参评人等信息；</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其中相关方共</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条、具体“顾客，雇员及其他为组织工作的人员，法律法规及监督机关，地方社会团体，非政府组织”等；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查其需求包括“顾客的要求、例如符合性、价格、安全性”、“与顾客达成的商业合同”、“行业规范及标准”、“行业许可、营业执照、其他授权”、“条约、公约、草案”、“和公共机构及顾客的协议”等；</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查组织监视和评审这些相关方的信息及其相关要求基本有效；成文信息及时更新日期</w:t>
            </w:r>
            <w:r>
              <w:rPr>
                <w:rFonts w:hint="eastAsia" w:ascii="宋体" w:hAnsi="宋体" w:cs="宋体"/>
                <w:b w:val="0"/>
                <w:bCs w:val="0"/>
                <w:color w:val="auto"/>
                <w:sz w:val="24"/>
                <w:szCs w:val="24"/>
                <w:lang w:val="en-US" w:eastAsia="zh-CN"/>
              </w:rPr>
              <w:t>2021.1.15</w:t>
            </w:r>
            <w:r>
              <w:rPr>
                <w:rFonts w:hint="eastAsia" w:ascii="宋体" w:hAnsi="宋体" w:eastAsia="宋体" w:cs="宋体"/>
                <w:b w:val="0"/>
                <w:bCs w:val="0"/>
                <w:color w:val="auto"/>
                <w:sz w:val="24"/>
                <w:szCs w:val="24"/>
                <w:lang w:val="en-US" w:eastAsia="zh-CN"/>
              </w:rPr>
              <w:t>、有编审批；</w:t>
            </w:r>
          </w:p>
          <w:p>
            <w:pPr>
              <w:jc w:val="left"/>
              <w:rPr>
                <w:rFonts w:hint="eastAsia" w:ascii="宋体" w:hAnsi="宋体" w:eastAsia="宋体" w:cs="宋体"/>
                <w:b w:val="0"/>
                <w:bCs w:val="0"/>
                <w:color w:val="auto"/>
                <w:sz w:val="24"/>
                <w:szCs w:val="24"/>
                <w:lang w:val="en-US" w:eastAsia="zh-CN"/>
              </w:rPr>
            </w:pP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编制了</w:t>
            </w:r>
            <w:r>
              <w:rPr>
                <w:rFonts w:hint="eastAsia" w:ascii="宋体" w:hAnsi="宋体" w:eastAsia="宋体" w:cs="宋体"/>
                <w:sz w:val="24"/>
                <w:szCs w:val="24"/>
              </w:rPr>
              <w:t>《法律法规</w:t>
            </w:r>
            <w:r>
              <w:rPr>
                <w:rFonts w:hint="eastAsia" w:ascii="宋体" w:hAnsi="宋体" w:eastAsia="宋体" w:cs="宋体"/>
                <w:sz w:val="24"/>
                <w:szCs w:val="24"/>
                <w:lang w:val="en-US" w:eastAsia="zh-CN"/>
              </w:rPr>
              <w:t>和其他要求</w:t>
            </w:r>
            <w:r>
              <w:rPr>
                <w:rFonts w:hint="eastAsia" w:ascii="宋体" w:hAnsi="宋体" w:eastAsia="宋体" w:cs="宋体"/>
                <w:sz w:val="24"/>
                <w:szCs w:val="24"/>
              </w:rPr>
              <w:t>清单》</w:t>
            </w:r>
            <w:r>
              <w:rPr>
                <w:rFonts w:hint="eastAsia" w:ascii="宋体" w:hAnsi="宋体" w:eastAsia="宋体" w:cs="宋体"/>
                <w:sz w:val="24"/>
                <w:szCs w:val="24"/>
                <w:lang w:val="en-US" w:eastAsia="zh-CN"/>
              </w:rPr>
              <w:t>其中法律法规</w:t>
            </w:r>
            <w:r>
              <w:rPr>
                <w:rFonts w:hint="eastAsia" w:ascii="宋体" w:hAnsi="宋体" w:cs="宋体"/>
                <w:sz w:val="24"/>
                <w:szCs w:val="24"/>
                <w:lang w:val="en-US" w:eastAsia="zh-CN"/>
              </w:rPr>
              <w:t>40</w:t>
            </w:r>
            <w:r>
              <w:rPr>
                <w:rFonts w:hint="eastAsia" w:ascii="宋体" w:hAnsi="宋体" w:eastAsia="宋体" w:cs="宋体"/>
                <w:sz w:val="24"/>
                <w:szCs w:val="24"/>
                <w:lang w:val="en-US" w:eastAsia="zh-CN"/>
              </w:rPr>
              <w:t>条、抽查若干：</w:t>
            </w:r>
          </w:p>
          <w:p>
            <w:pPr>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中华人民共和国节约能源法</w:t>
            </w:r>
            <w:r>
              <w:rPr>
                <w:rFonts w:hint="eastAsia" w:ascii="宋体" w:hAnsi="宋体" w:eastAsia="宋体" w:cs="宋体"/>
                <w:sz w:val="24"/>
                <w:szCs w:val="24"/>
                <w:lang w:eastAsia="zh-CN"/>
              </w:rPr>
              <w:t>》</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r>
              <w:rPr>
                <w:rFonts w:hint="eastAsia" w:ascii="宋体" w:hAnsi="宋体" w:eastAsia="宋体" w:cs="宋体"/>
                <w:sz w:val="24"/>
                <w:szCs w:val="24"/>
                <w:lang w:eastAsia="zh-CN"/>
              </w:rPr>
              <w:t>《中华人民共和国可再生能源法》</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r>
              <w:rPr>
                <w:rFonts w:hint="eastAsia" w:ascii="宋体" w:hAnsi="宋体" w:eastAsia="宋体" w:cs="宋体"/>
                <w:sz w:val="24"/>
                <w:szCs w:val="24"/>
                <w:lang w:eastAsia="zh-CN"/>
              </w:rPr>
              <w:t>《中华人民共和国清洁生产促进法》</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另抽查</w:t>
            </w:r>
            <w:r>
              <w:rPr>
                <w:rFonts w:hint="eastAsia" w:ascii="宋体" w:hAnsi="宋体" w:eastAsia="宋体" w:cs="宋体"/>
                <w:sz w:val="24"/>
                <w:szCs w:val="24"/>
              </w:rPr>
              <w:t>其他要求</w:t>
            </w:r>
            <w:r>
              <w:rPr>
                <w:rFonts w:hint="eastAsia" w:ascii="宋体" w:hAnsi="宋体" w:eastAsia="宋体" w:cs="宋体"/>
                <w:sz w:val="24"/>
                <w:szCs w:val="24"/>
                <w:lang w:val="en-US" w:eastAsia="zh-CN"/>
              </w:rPr>
              <w:t>若干条：《GBT17167用能计量器具》、《企业能源审计技术通则__GB》、《GBT 15587-2008 工业企业能源管理导则》、《GBT 2587-2009 用能设备能量平衡通则》、《GBT 3484-2009 企业能量平衡通则》等、查“</w:t>
            </w:r>
            <w:r>
              <w:rPr>
                <w:rFonts w:hint="eastAsia" w:ascii="宋体" w:hAnsi="宋体" w:eastAsia="宋体" w:cs="宋体"/>
                <w:sz w:val="24"/>
                <w:szCs w:val="24"/>
              </w:rPr>
              <w:t>发布日期、</w:t>
            </w:r>
            <w:r>
              <w:rPr>
                <w:rFonts w:hint="eastAsia" w:ascii="宋体" w:hAnsi="宋体" w:eastAsia="宋体" w:cs="宋体"/>
                <w:sz w:val="24"/>
                <w:szCs w:val="24"/>
                <w:lang w:val="en-US" w:eastAsia="zh-CN"/>
              </w:rPr>
              <w:t>实施日期、适用条款”等信息基本适于本组织实际情况；</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上述信息来源：网络、政府下达文件等；</w:t>
            </w:r>
          </w:p>
          <w:p>
            <w:pPr>
              <w:jc w:val="left"/>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组织定期对收集的法律法规和其他要求进行了评审、包括“适用性”、“合规性”等；</w:t>
            </w:r>
          </w:p>
        </w:tc>
        <w:tc>
          <w:tcPr>
            <w:tcW w:w="712" w:type="dxa"/>
            <w:vAlign w:val="top"/>
          </w:tcPr>
          <w:p>
            <w:pPr>
              <w:rPr>
                <w:rFonts w:hint="eastAsia" w:ascii="宋体" w:hAnsi="宋体" w:eastAsia="宋体" w:cs="宋体"/>
                <w:sz w:val="24"/>
                <w:szCs w:val="24"/>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default" w:eastAsia="宋体"/>
                <w:lang w:val="en-US" w:eastAsia="zh-CN"/>
              </w:rPr>
            </w:pPr>
            <w:r>
              <w:rPr>
                <w:rFonts w:hint="eastAsia"/>
                <w:lang w:val="en-US" w:eastAsia="zh-CN"/>
              </w:rPr>
              <w:t xml:space="preserve">  y</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确定能源管理体系的范围</w:t>
            </w:r>
          </w:p>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4.3 </w:t>
            </w:r>
          </w:p>
          <w:p>
            <w:pPr>
              <w:rPr>
                <w:rFonts w:hint="eastAsia" w:ascii="宋体" w:hAnsi="宋体" w:eastAsia="宋体" w:cs="宋体"/>
                <w:color w:val="auto"/>
                <w:sz w:val="24"/>
                <w:szCs w:val="24"/>
                <w:lang w:val="en-US" w:eastAsia="zh-CN"/>
              </w:rPr>
            </w:pPr>
          </w:p>
        </w:tc>
        <w:tc>
          <w:tcPr>
            <w:tcW w:w="10877" w:type="dxa"/>
            <w:vAlign w:val="center"/>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查已经成文信息包括：</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1.“内、外部因素”及“相关方及其需求”；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组</w:t>
            </w:r>
            <w:r>
              <w:rPr>
                <w:rFonts w:hint="eastAsia" w:ascii="宋体" w:hAnsi="宋体" w:eastAsia="宋体" w:cs="宋体"/>
                <w:sz w:val="24"/>
                <w:szCs w:val="24"/>
                <w:u w:val="single"/>
              </w:rPr>
              <w:t>织界定的</w:t>
            </w:r>
            <w:r>
              <w:rPr>
                <w:rFonts w:hint="eastAsia" w:ascii="宋体" w:hAnsi="宋体" w:eastAsia="宋体" w:cs="宋体"/>
                <w:sz w:val="24"/>
                <w:szCs w:val="24"/>
                <w:u w:val="single"/>
                <w:lang w:eastAsia="zh-CN"/>
              </w:rPr>
              <w:t>能源</w:t>
            </w:r>
            <w:r>
              <w:rPr>
                <w:rFonts w:hint="eastAsia" w:ascii="宋体" w:hAnsi="宋体" w:eastAsia="宋体" w:cs="宋体"/>
                <w:sz w:val="24"/>
                <w:szCs w:val="24"/>
                <w:u w:val="single"/>
              </w:rPr>
              <w:t>管理体系的</w:t>
            </w:r>
            <w:r>
              <w:rPr>
                <w:rFonts w:hint="eastAsia" w:ascii="宋体" w:hAnsi="宋体" w:eastAsia="宋体" w:cs="宋体"/>
                <w:sz w:val="24"/>
                <w:szCs w:val="24"/>
              </w:rPr>
              <w:t>范围</w:t>
            </w:r>
            <w:r>
              <w:rPr>
                <w:rFonts w:hint="eastAsia" w:ascii="宋体" w:hAnsi="宋体" w:eastAsia="宋体" w:cs="宋体"/>
                <w:sz w:val="24"/>
                <w:szCs w:val="24"/>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位于</w:t>
            </w:r>
            <w:r>
              <w:rPr>
                <w:rFonts w:hint="default" w:ascii="宋体" w:hAnsi="宋体" w:eastAsia="宋体" w:cs="宋体"/>
                <w:sz w:val="24"/>
                <w:szCs w:val="24"/>
                <w:lang w:val="en-US" w:eastAsia="zh-CN"/>
              </w:rPr>
              <w:t>湖北省襄阳市襄城区</w:t>
            </w:r>
            <w:r>
              <w:rPr>
                <w:rFonts w:hint="eastAsia" w:ascii="宋体" w:hAnsi="宋体" w:eastAsia="宋体" w:cs="宋体"/>
                <w:sz w:val="24"/>
                <w:szCs w:val="24"/>
                <w:lang w:val="en-US" w:eastAsia="zh-CN"/>
              </w:rPr>
              <w:t>经济开发区的</w:t>
            </w:r>
            <w:r>
              <w:rPr>
                <w:rFonts w:hint="default" w:ascii="宋体" w:hAnsi="宋体" w:eastAsia="宋体" w:cs="宋体"/>
                <w:sz w:val="24"/>
                <w:szCs w:val="24"/>
                <w:lang w:val="en-US" w:eastAsia="zh-CN"/>
              </w:rPr>
              <w:t>襄阳华壁新型建材有限公司</w:t>
            </w:r>
            <w:r>
              <w:rPr>
                <w:rFonts w:hint="eastAsia" w:ascii="宋体" w:hAnsi="宋体" w:eastAsia="宋体" w:cs="宋体"/>
                <w:sz w:val="24"/>
                <w:szCs w:val="24"/>
                <w:lang w:val="en-US" w:eastAsia="zh-CN"/>
              </w:rPr>
              <w:t>加气混凝土砌块的生产所涉及的能源采购、转换、输送及使用的相关能源管理活动。</w:t>
            </w:r>
          </w:p>
          <w:p>
            <w:pPr>
              <w:numPr>
                <w:ilvl w:val="0"/>
                <w:numId w:val="0"/>
              </w:numPr>
              <w:ind w:left="0" w:leftChars="0" w:firstLine="0" w:firstLineChars="0"/>
              <w:rPr>
                <w:rFonts w:hint="default" w:ascii="宋体" w:hAnsi="宋体" w:eastAsia="宋体" w:cs="宋体"/>
                <w:color w:val="auto"/>
                <w:sz w:val="24"/>
                <w:szCs w:val="24"/>
                <w:lang w:val="en-US" w:eastAsia="zh-CN"/>
              </w:rPr>
            </w:pPr>
            <w:r>
              <w:rPr>
                <w:rFonts w:hint="eastAsia" w:ascii="宋体" w:hAnsi="宋体" w:cs="宋体"/>
                <w:sz w:val="24"/>
                <w:szCs w:val="24"/>
                <w:lang w:val="en-US" w:eastAsia="zh-CN"/>
              </w:rPr>
              <w:t>查</w:t>
            </w:r>
            <w:r>
              <w:rPr>
                <w:rFonts w:hint="eastAsia" w:ascii="宋体" w:hAnsi="宋体" w:eastAsia="宋体" w:cs="宋体"/>
                <w:sz w:val="24"/>
                <w:szCs w:val="24"/>
                <w:lang w:val="en-US" w:eastAsia="zh-CN"/>
              </w:rPr>
              <w:t>组织</w:t>
            </w:r>
            <w:r>
              <w:rPr>
                <w:rFonts w:hint="eastAsia" w:ascii="宋体" w:hAnsi="宋体" w:cs="宋体"/>
                <w:sz w:val="24"/>
                <w:szCs w:val="24"/>
                <w:u w:val="single"/>
                <w:lang w:val="en-US" w:eastAsia="zh-CN"/>
              </w:rPr>
              <w:t>未</w:t>
            </w:r>
            <w:r>
              <w:rPr>
                <w:rFonts w:hint="eastAsia" w:ascii="宋体" w:hAnsi="宋体" w:eastAsia="宋体" w:cs="宋体"/>
                <w:sz w:val="24"/>
                <w:szCs w:val="24"/>
                <w:u w:val="single"/>
                <w:lang w:val="en-US" w:eastAsia="zh-CN"/>
              </w:rPr>
              <w:t>在</w:t>
            </w:r>
            <w:r>
              <w:rPr>
                <w:rFonts w:hint="eastAsia" w:ascii="宋体" w:hAnsi="宋体" w:cs="宋体"/>
                <w:sz w:val="24"/>
                <w:szCs w:val="24"/>
                <w:u w:val="single"/>
                <w:lang w:val="en-US" w:eastAsia="zh-CN"/>
              </w:rPr>
              <w:t>能源</w:t>
            </w:r>
            <w:r>
              <w:rPr>
                <w:rFonts w:hint="eastAsia" w:ascii="宋体" w:hAnsi="宋体" w:eastAsia="宋体" w:cs="宋体"/>
                <w:sz w:val="24"/>
                <w:szCs w:val="24"/>
                <w:u w:val="single"/>
                <w:lang w:val="en-US" w:eastAsia="zh-CN"/>
              </w:rPr>
              <w:t>范围</w:t>
            </w:r>
            <w:r>
              <w:rPr>
                <w:rFonts w:hint="eastAsia" w:ascii="宋体" w:hAnsi="宋体" w:eastAsia="宋体" w:cs="宋体"/>
                <w:sz w:val="24"/>
                <w:szCs w:val="24"/>
                <w:lang w:val="en-US" w:eastAsia="zh-CN"/>
              </w:rPr>
              <w:t>和边界内，</w:t>
            </w:r>
            <w:r>
              <w:rPr>
                <w:rFonts w:hint="eastAsia" w:ascii="宋体" w:hAnsi="宋体" w:eastAsia="宋体" w:cs="宋体"/>
                <w:sz w:val="24"/>
                <w:szCs w:val="24"/>
                <w:u w:val="single"/>
                <w:lang w:val="en-US" w:eastAsia="zh-CN"/>
              </w:rPr>
              <w:t>去除能源消耗</w:t>
            </w:r>
            <w:r>
              <w:rPr>
                <w:rFonts w:hint="eastAsia" w:ascii="宋体" w:hAnsi="宋体" w:eastAsia="宋体" w:cs="宋体"/>
                <w:sz w:val="24"/>
                <w:szCs w:val="24"/>
                <w:lang w:val="en-US" w:eastAsia="zh-CN"/>
              </w:rPr>
              <w:t>点。</w:t>
            </w:r>
          </w:p>
        </w:tc>
        <w:tc>
          <w:tcPr>
            <w:tcW w:w="712" w:type="dxa"/>
            <w:vAlign w:val="top"/>
          </w:tcPr>
          <w:p>
            <w:pPr>
              <w:rPr>
                <w:rFonts w:hint="eastAsia"/>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default"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top"/>
          </w:tcPr>
          <w:p>
            <w:r>
              <w:rPr>
                <w:rFonts w:hint="eastAsia" w:ascii="宋体" w:hAnsi="宋体" w:eastAsia="宋体" w:cs="宋体"/>
                <w:sz w:val="24"/>
                <w:szCs w:val="24"/>
              </w:rPr>
              <w:t>能源管理体系</w:t>
            </w:r>
          </w:p>
        </w:tc>
        <w:tc>
          <w:tcPr>
            <w:tcW w:w="960" w:type="dxa"/>
            <w:vAlign w:val="top"/>
          </w:tcPr>
          <w:p>
            <w:pPr>
              <w:rPr>
                <w:rFonts w:hint="eastAsia" w:ascii="宋体" w:hAnsi="宋体" w:eastAsia="宋体" w:cs="宋体"/>
                <w:sz w:val="24"/>
                <w:szCs w:val="24"/>
              </w:rPr>
            </w:pPr>
            <w:r>
              <w:rPr>
                <w:rFonts w:hint="eastAsia" w:ascii="宋体" w:hAnsi="宋体" w:eastAsia="宋体" w:cs="宋体"/>
                <w:sz w:val="24"/>
                <w:szCs w:val="24"/>
              </w:rPr>
              <w:t>4.4</w:t>
            </w:r>
          </w:p>
          <w:p/>
        </w:tc>
        <w:tc>
          <w:tcPr>
            <w:tcW w:w="10877"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查组织基本做到</w:t>
            </w:r>
            <w:r>
              <w:rPr>
                <w:rFonts w:hint="eastAsia" w:ascii="宋体" w:hAnsi="宋体" w:eastAsia="宋体" w:cs="宋体"/>
                <w:sz w:val="24"/>
                <w:szCs w:val="24"/>
                <w:lang w:val="en-US" w:eastAsia="zh-CN"/>
              </w:rPr>
              <w:t>了：</w:t>
            </w:r>
          </w:p>
          <w:p>
            <w:pPr>
              <w:rPr>
                <w:rFonts w:hint="eastAsia" w:ascii="宋体" w:hAnsi="宋体" w:eastAsia="宋体" w:cs="宋体"/>
                <w:sz w:val="24"/>
                <w:szCs w:val="24"/>
              </w:rPr>
            </w:pPr>
            <w:r>
              <w:rPr>
                <w:rFonts w:hint="eastAsia" w:ascii="宋体" w:hAnsi="宋体" w:eastAsia="宋体" w:cs="宋体"/>
                <w:sz w:val="24"/>
                <w:szCs w:val="24"/>
              </w:rPr>
              <w:t>按</w:t>
            </w:r>
            <w:r>
              <w:rPr>
                <w:rFonts w:hint="eastAsia" w:ascii="宋体" w:hAnsi="宋体" w:cs="宋体"/>
                <w:sz w:val="24"/>
                <w:szCs w:val="24"/>
                <w:lang w:val="en-US" w:eastAsia="zh-CN"/>
              </w:rPr>
              <w:t>ISO</w:t>
            </w:r>
            <w:r>
              <w:rPr>
                <w:rFonts w:hint="eastAsia" w:ascii="宋体" w:hAnsi="宋体" w:eastAsia="宋体" w:cs="宋体"/>
                <w:sz w:val="24"/>
                <w:szCs w:val="24"/>
                <w:lang w:val="en-US" w:eastAsia="zh-CN"/>
              </w:rPr>
              <w:t>50001</w:t>
            </w: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《能源管理体系 要求》的要求，结合本公司的生产经营活动、产品和服务的实际建立能源管理体系，形成文件，实施、保持和持续改进能源管理。</w:t>
            </w:r>
          </w:p>
          <w:p>
            <w:pPr>
              <w:rPr>
                <w:rFonts w:hint="eastAsia" w:ascii="宋体" w:hAnsi="宋体" w:eastAsia="宋体" w:cs="宋体"/>
                <w:sz w:val="24"/>
                <w:szCs w:val="24"/>
              </w:rPr>
            </w:pPr>
            <w:r>
              <w:rPr>
                <w:rFonts w:hint="eastAsia" w:ascii="宋体" w:hAnsi="宋体" w:eastAsia="宋体" w:cs="宋体"/>
                <w:sz w:val="24"/>
                <w:szCs w:val="24"/>
              </w:rPr>
              <w:t>识别</w:t>
            </w:r>
            <w:r>
              <w:rPr>
                <w:rFonts w:hint="eastAsia" w:ascii="宋体" w:hAnsi="宋体" w:eastAsia="宋体" w:cs="宋体"/>
                <w:sz w:val="24"/>
                <w:szCs w:val="24"/>
                <w:lang w:val="en-US" w:eastAsia="zh-CN"/>
              </w:rPr>
              <w:t>了</w:t>
            </w:r>
            <w:r>
              <w:rPr>
                <w:rFonts w:hint="eastAsia" w:ascii="宋体" w:hAnsi="宋体" w:eastAsia="宋体" w:cs="宋体"/>
                <w:sz w:val="24"/>
                <w:szCs w:val="24"/>
              </w:rPr>
              <w:t>产品、活动和服务中能够控制或可施加影响的能源使用，确定优先控制的重要能源使用；确定本公司适用的法律法规和其他要求；建立适当的能源目标、指标和能源管理方案；</w:t>
            </w:r>
          </w:p>
          <w:p>
            <w:pPr>
              <w:rPr>
                <w:rFonts w:hint="eastAsia" w:ascii="宋体" w:hAnsi="宋体" w:eastAsia="宋体" w:cs="宋体"/>
                <w:sz w:val="24"/>
                <w:szCs w:val="24"/>
              </w:rPr>
            </w:pPr>
            <w:r>
              <w:rPr>
                <w:rFonts w:hint="eastAsia" w:ascii="宋体" w:hAnsi="宋体" w:eastAsia="宋体" w:cs="宋体"/>
                <w:sz w:val="24"/>
                <w:szCs w:val="24"/>
              </w:rPr>
              <w:t>开展策划、控制、监测、纠正、审核与评审活动，以确保对能源方针的遵守和能源管理体系的持续适应性。</w:t>
            </w:r>
          </w:p>
        </w:tc>
        <w:tc>
          <w:tcPr>
            <w:tcW w:w="712" w:type="dxa"/>
            <w:vAlign w:val="top"/>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ascii="宋体" w:hAnsi="宋体" w:eastAsia="宋体" w:cs="宋体"/>
                <w:sz w:val="24"/>
                <w:szCs w:val="24"/>
              </w:rPr>
              <w:t>领导作用与承诺</w:t>
            </w:r>
          </w:p>
        </w:tc>
        <w:tc>
          <w:tcPr>
            <w:tcW w:w="960" w:type="dxa"/>
            <w:vAlign w:val="top"/>
          </w:tcPr>
          <w:p>
            <w:pPr>
              <w:rPr>
                <w:rFonts w:hint="eastAsia" w:ascii="宋体" w:hAnsi="宋体" w:eastAsia="宋体" w:cs="宋体"/>
                <w:sz w:val="24"/>
                <w:szCs w:val="24"/>
              </w:rPr>
            </w:pPr>
            <w:r>
              <w:rPr>
                <w:rFonts w:hint="eastAsia" w:ascii="宋体" w:hAnsi="宋体" w:eastAsia="宋体" w:cs="宋体"/>
                <w:sz w:val="24"/>
                <w:szCs w:val="24"/>
              </w:rPr>
              <w:t xml:space="preserve">5.1 </w:t>
            </w:r>
          </w:p>
          <w:p>
            <w:pPr>
              <w:rPr>
                <w:rFonts w:hint="default" w:ascii="宋体" w:hAnsi="宋体" w:cs="宋体"/>
                <w:color w:val="auto"/>
                <w:sz w:val="24"/>
                <w:szCs w:val="24"/>
                <w:lang w:val="en-US" w:eastAsia="zh-CN"/>
              </w:rPr>
            </w:pPr>
          </w:p>
        </w:tc>
        <w:tc>
          <w:tcPr>
            <w:tcW w:w="10877" w:type="dxa"/>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通过</w:t>
            </w:r>
            <w:r>
              <w:rPr>
                <w:rFonts w:hint="eastAsia" w:ascii="宋体" w:hAnsi="宋体" w:eastAsia="宋体" w:cs="宋体"/>
                <w:sz w:val="24"/>
                <w:szCs w:val="24"/>
                <w:lang w:val="en-US" w:eastAsia="zh-CN"/>
              </w:rPr>
              <w:t>交流</w:t>
            </w:r>
            <w:r>
              <w:rPr>
                <w:rFonts w:hint="eastAsia" w:ascii="宋体" w:hAnsi="宋体" w:cs="宋体"/>
                <w:sz w:val="24"/>
                <w:szCs w:val="24"/>
                <w:lang w:val="en-US" w:eastAsia="zh-CN"/>
              </w:rPr>
              <w:t>可知最高管理者已经</w:t>
            </w:r>
            <w:r>
              <w:rPr>
                <w:rFonts w:hint="eastAsia" w:ascii="宋体" w:hAnsi="宋体" w:eastAsia="宋体" w:cs="宋体"/>
                <w:sz w:val="24"/>
                <w:szCs w:val="24"/>
                <w:lang w:val="en-US"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a）</w:t>
            </w:r>
            <w:r>
              <w:rPr>
                <w:rFonts w:hint="eastAsia" w:ascii="宋体" w:hAnsi="宋体" w:eastAsia="宋体" w:cs="宋体"/>
                <w:sz w:val="24"/>
                <w:szCs w:val="24"/>
              </w:rPr>
              <w:tab/>
            </w:r>
            <w:r>
              <w:rPr>
                <w:rFonts w:hint="eastAsia" w:ascii="宋体" w:hAnsi="宋体" w:eastAsia="宋体" w:cs="宋体"/>
                <w:sz w:val="24"/>
                <w:szCs w:val="24"/>
              </w:rPr>
              <w:t>确保建立EnMS范围和边界</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rPr>
              <w:tab/>
            </w:r>
            <w:r>
              <w:rPr>
                <w:rFonts w:hint="eastAsia" w:ascii="宋体" w:hAnsi="宋体" w:eastAsia="宋体" w:cs="宋体"/>
                <w:sz w:val="24"/>
                <w:szCs w:val="24"/>
              </w:rPr>
              <w:t>确保建立能源方针、目标和能源指标，并确保与其组织的战略方向相一致；</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cs="宋体"/>
                <w:sz w:val="24"/>
                <w:szCs w:val="24"/>
                <w:lang w:eastAsia="zh-CN"/>
              </w:rPr>
            </w:pPr>
            <w:r>
              <w:rPr>
                <w:rFonts w:hint="eastAsia" w:ascii="宋体" w:hAnsi="宋体" w:eastAsia="宋体" w:cs="宋体"/>
                <w:sz w:val="24"/>
                <w:szCs w:val="24"/>
              </w:rPr>
              <w:t>c）</w:t>
            </w:r>
            <w:r>
              <w:rPr>
                <w:rFonts w:hint="eastAsia" w:ascii="宋体" w:hAnsi="宋体" w:eastAsia="宋体" w:cs="宋体"/>
                <w:sz w:val="24"/>
                <w:szCs w:val="24"/>
              </w:rPr>
              <w:tab/>
            </w:r>
            <w:r>
              <w:rPr>
                <w:rFonts w:hint="eastAsia" w:ascii="宋体" w:hAnsi="宋体" w:eastAsia="宋体" w:cs="宋体"/>
                <w:sz w:val="24"/>
                <w:szCs w:val="24"/>
              </w:rPr>
              <w:t>确保将能源管理体系要求融入到组织的业务流程中</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cs="宋体"/>
                <w:b w:val="0"/>
                <w:bCs w:val="0"/>
                <w:color w:val="auto"/>
                <w:sz w:val="24"/>
                <w:szCs w:val="24"/>
                <w:lang w:val="en-US" w:eastAsia="zh-CN"/>
              </w:rPr>
              <w:t>包括</w:t>
            </w:r>
            <w:r>
              <w:rPr>
                <w:rFonts w:hint="eastAsia" w:ascii="宋体" w:hAnsi="宋体" w:eastAsia="宋体" w:cs="宋体"/>
                <w:b w:val="0"/>
                <w:bCs w:val="0"/>
                <w:color w:val="auto"/>
                <w:sz w:val="24"/>
                <w:szCs w:val="24"/>
                <w:lang w:val="en-US" w:eastAsia="zh-CN"/>
              </w:rPr>
              <w:t>确保</w:t>
            </w:r>
            <w:r>
              <w:rPr>
                <w:rFonts w:hint="eastAsia" w:ascii="宋体" w:hAnsi="宋体" w:cs="宋体"/>
                <w:b w:val="0"/>
                <w:bCs w:val="0"/>
                <w:color w:val="auto"/>
                <w:sz w:val="24"/>
                <w:szCs w:val="24"/>
                <w:lang w:val="en-US" w:eastAsia="zh-CN"/>
              </w:rPr>
              <w:t>能源</w:t>
            </w:r>
            <w:r>
              <w:rPr>
                <w:rFonts w:hint="eastAsia" w:ascii="宋体" w:hAnsi="宋体" w:eastAsia="宋体" w:cs="宋体"/>
                <w:b w:val="0"/>
                <w:bCs w:val="0"/>
                <w:color w:val="auto"/>
                <w:sz w:val="24"/>
                <w:szCs w:val="24"/>
                <w:lang w:val="en-US" w:eastAsia="zh-CN"/>
              </w:rPr>
              <w:t xml:space="preserve">管理体系和本组织的相关职能部门及过程的接口和融入、这包括设计开发、生产及仓储物流、原材料的采购、过程的监视和测量等均按照标准要求制定了让相关的程序文件和作业指导书、提供了过程的监视和质量目标的监视、完成了内审和管评的过程等； </w:t>
            </w:r>
          </w:p>
          <w:p>
            <w:pPr>
              <w:rPr>
                <w:rFonts w:hint="eastAsia" w:ascii="宋体" w:hAnsi="宋体" w:cs="宋体"/>
                <w:sz w:val="24"/>
                <w:szCs w:val="24"/>
                <w:lang w:eastAsia="zh-CN"/>
              </w:rPr>
            </w:pPr>
            <w:r>
              <w:rPr>
                <w:rFonts w:hint="eastAsia" w:ascii="宋体" w:hAnsi="宋体" w:eastAsia="宋体" w:cs="宋体"/>
                <w:sz w:val="24"/>
                <w:szCs w:val="24"/>
              </w:rPr>
              <w:t>d）</w:t>
            </w:r>
            <w:r>
              <w:rPr>
                <w:rFonts w:hint="eastAsia" w:ascii="宋体" w:hAnsi="宋体" w:eastAsia="宋体" w:cs="宋体"/>
                <w:sz w:val="24"/>
                <w:szCs w:val="24"/>
              </w:rPr>
              <w:tab/>
            </w:r>
            <w:r>
              <w:rPr>
                <w:rFonts w:hint="eastAsia" w:ascii="宋体" w:hAnsi="宋体" w:eastAsia="宋体" w:cs="宋体"/>
                <w:sz w:val="24"/>
                <w:szCs w:val="24"/>
              </w:rPr>
              <w:t>确保策划方案得到批准和实施</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e）</w:t>
            </w:r>
            <w:r>
              <w:rPr>
                <w:rFonts w:hint="eastAsia" w:ascii="宋体" w:hAnsi="宋体" w:eastAsia="宋体" w:cs="宋体"/>
                <w:sz w:val="24"/>
                <w:szCs w:val="24"/>
              </w:rPr>
              <w:tab/>
            </w:r>
            <w:r>
              <w:rPr>
                <w:rFonts w:hint="eastAsia" w:ascii="宋体" w:hAnsi="宋体" w:eastAsia="宋体" w:cs="宋体"/>
                <w:sz w:val="24"/>
                <w:szCs w:val="24"/>
              </w:rPr>
              <w:t>确保可获得EnMS所需的资源</w:t>
            </w:r>
            <w:r>
              <w:rPr>
                <w:rFonts w:hint="eastAsia" w:ascii="宋体" w:hAnsi="宋体" w:cs="宋体"/>
                <w:sz w:val="24"/>
                <w:szCs w:val="24"/>
                <w:lang w:eastAsia="zh-CN"/>
              </w:rPr>
              <w:t>；</w:t>
            </w:r>
            <w:r>
              <w:rPr>
                <w:rFonts w:hint="eastAsia" w:ascii="宋体" w:hAnsi="宋体" w:eastAsia="宋体" w:cs="宋体"/>
                <w:b w:val="0"/>
                <w:bCs w:val="0"/>
                <w:color w:val="auto"/>
                <w:sz w:val="24"/>
                <w:szCs w:val="24"/>
                <w:lang w:val="en-US" w:eastAsia="zh-CN"/>
              </w:rPr>
              <w:t>组织明确了体系要求的在人力物力财力方面的需求，及那些受到约束的条件并形成文件信息予以保留；</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f）就有效能源管理的重要性和符合能源管理体系要求的重要性进行沟通；</w:t>
            </w:r>
            <w:r>
              <w:rPr>
                <w:rFonts w:hint="eastAsia" w:ascii="宋体" w:hAnsi="宋体" w:eastAsia="宋体" w:cs="宋体"/>
                <w:b w:val="0"/>
                <w:bCs w:val="0"/>
                <w:color w:val="auto"/>
                <w:sz w:val="24"/>
                <w:szCs w:val="24"/>
                <w:lang w:val="en-US" w:eastAsia="zh-CN"/>
              </w:rPr>
              <w:t>通过内部会议、邮件、讨论等形式获取有价值的沟通等；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g）确保能源管理体系实现其预期的结果</w:t>
            </w:r>
            <w:r>
              <w:rPr>
                <w:rFonts w:hint="eastAsia" w:ascii="宋体" w:hAnsi="宋体" w:cs="宋体"/>
                <w:sz w:val="24"/>
                <w:szCs w:val="24"/>
                <w:lang w:eastAsia="zh-CN"/>
              </w:rPr>
              <w:t>；</w:t>
            </w:r>
            <w:r>
              <w:rPr>
                <w:rFonts w:hint="eastAsia" w:ascii="宋体" w:hAnsi="宋体" w:eastAsia="宋体" w:cs="宋体"/>
                <w:b w:val="0"/>
                <w:bCs w:val="0"/>
                <w:color w:val="auto"/>
                <w:sz w:val="24"/>
                <w:szCs w:val="24"/>
                <w:lang w:val="en-US" w:eastAsia="zh-CN"/>
              </w:rPr>
              <w:t>监视质量管理体系的输出、确保纠正措施落实到个人或团队；</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h）促进能源管理体系和能源绩效的持续改进；</w:t>
            </w:r>
            <w:r>
              <w:rPr>
                <w:rFonts w:hint="eastAsia" w:ascii="宋体" w:hAnsi="宋体" w:eastAsia="宋体" w:cs="宋体"/>
                <w:b w:val="0"/>
                <w:bCs w:val="0"/>
                <w:color w:val="auto"/>
                <w:sz w:val="24"/>
                <w:szCs w:val="24"/>
                <w:lang w:val="en-US" w:eastAsia="zh-CN"/>
              </w:rPr>
              <w:t>内审、管评、第三方审核等提出的一家和建议在内部沟通；</w:t>
            </w:r>
          </w:p>
          <w:p>
            <w:pPr>
              <w:rPr>
                <w:rFonts w:hint="eastAsia" w:ascii="宋体" w:hAnsi="宋体" w:eastAsia="宋体" w:cs="宋体"/>
                <w:sz w:val="24"/>
                <w:szCs w:val="24"/>
                <w:lang w:eastAsia="zh-CN"/>
              </w:rPr>
            </w:pPr>
            <w:r>
              <w:rPr>
                <w:rFonts w:hint="eastAsia" w:ascii="宋体" w:hAnsi="宋体" w:eastAsia="宋体" w:cs="宋体"/>
                <w:sz w:val="24"/>
                <w:szCs w:val="24"/>
              </w:rPr>
              <w:t>i）确保组建能源管理团队</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j）指导并支持员工对能源管理体系的有效性和能源绩效改进作出贡献</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k）支持其他相关的管理人员在其职责范围内执行其领导作用</w:t>
            </w:r>
            <w:r>
              <w:rPr>
                <w:rFonts w:hint="eastAsia" w:ascii="宋体" w:hAnsi="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sz w:val="24"/>
                <w:szCs w:val="24"/>
              </w:rPr>
              <w:t>l）确保EnPI（s）恰当地表示能源性能</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m）确保建立和实施流程，以识别和确定在能源管理体系范围和边界内能源管理体系和能源绩效的变化影响。</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宋体" w:hAnsi="宋体" w:cs="宋体"/>
                <w:color w:val="auto"/>
                <w:sz w:val="24"/>
                <w:szCs w:val="24"/>
                <w:lang w:val="en-US" w:eastAsia="zh-CN"/>
              </w:rPr>
            </w:pP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现场审核管理层的行为、态度和决定之间基本一致，日常的态度严谨认真、可以做到以身作则、及和部属的有效沟通；另查书面的承诺及质量管理体系的绩效结果等基本符合规定；</w:t>
            </w:r>
          </w:p>
        </w:tc>
        <w:tc>
          <w:tcPr>
            <w:tcW w:w="712" w:type="dxa"/>
            <w:vAlign w:val="top"/>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2160" w:type="dxa"/>
            <w:vAlign w:val="top"/>
          </w:tcPr>
          <w:p>
            <w:r>
              <w:rPr>
                <w:rFonts w:hint="eastAsia" w:ascii="宋体" w:hAnsi="宋体" w:eastAsia="宋体" w:cs="宋体"/>
                <w:sz w:val="24"/>
                <w:szCs w:val="24"/>
              </w:rPr>
              <w:t>能源方针</w:t>
            </w:r>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5.2 </w:t>
            </w:r>
          </w:p>
          <w:p>
            <w:pPr>
              <w:rPr>
                <w:rFonts w:hint="eastAsia" w:ascii="宋体" w:hAnsi="宋体" w:eastAsia="宋体" w:cs="宋体"/>
                <w:b w:val="0"/>
                <w:bCs w:val="0"/>
                <w:color w:val="auto"/>
                <w:sz w:val="24"/>
                <w:szCs w:val="24"/>
                <w:lang w:val="en-US" w:eastAsia="zh-CN"/>
              </w:rPr>
            </w:pPr>
          </w:p>
        </w:tc>
        <w:tc>
          <w:tcPr>
            <w:tcW w:w="10877" w:type="dxa"/>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组织的能源方针：</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“遵守法规 清洁生产；节能降耗 创新改造；能耗限额 持续改进”、</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包含了“以确保实现目标和能源指标的必要的资源和有效的信息、以满足适用的法律要求和能源效率、能源使用和能源消耗相关的其他要求、以获得能源管理体系和能源绩效的持续改进、支持能影响能源绩效的节能产品和服务的采购、支持考虑能源绩效改进活动的设计”、且予以发布——基本符合规定；</w:t>
            </w:r>
          </w:p>
        </w:tc>
        <w:tc>
          <w:tcPr>
            <w:tcW w:w="712" w:type="dxa"/>
            <w:vAlign w:val="top"/>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5.3 </w:t>
            </w:r>
          </w:p>
          <w:p>
            <w:pPr>
              <w:rPr>
                <w:rFonts w:hint="eastAsia" w:ascii="宋体" w:hAnsi="宋体" w:eastAsia="宋体" w:cs="宋体"/>
                <w:b w:val="0"/>
                <w:bCs w:val="0"/>
                <w:color w:val="auto"/>
                <w:sz w:val="24"/>
                <w:szCs w:val="24"/>
                <w:lang w:val="en-US" w:eastAsia="zh-CN"/>
              </w:rPr>
            </w:pPr>
          </w:p>
        </w:tc>
        <w:tc>
          <w:tcPr>
            <w:tcW w:w="10877" w:type="dxa"/>
            <w:vAlign w:val="top"/>
          </w:tcPr>
          <w:p>
            <w:pP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w:t>
            </w:r>
            <w:r>
              <w:rPr>
                <w:rFonts w:hint="eastAsia" w:ascii="宋体" w:hAnsi="宋体" w:eastAsia="宋体" w:cs="宋体"/>
                <w:b w:val="0"/>
                <w:bCs w:val="0"/>
                <w:color w:val="auto"/>
                <w:sz w:val="24"/>
                <w:szCs w:val="24"/>
                <w:lang w:val="en-US" w:eastAsia="zh-CN"/>
              </w:rPr>
              <w:t>最高管理者</w:t>
            </w:r>
            <w:r>
              <w:rPr>
                <w:rFonts w:hint="eastAsia" w:ascii="宋体" w:hAnsi="宋体" w:cs="宋体"/>
                <w:b w:val="0"/>
                <w:bCs w:val="0"/>
                <w:color w:val="auto"/>
                <w:sz w:val="24"/>
                <w:szCs w:val="24"/>
                <w:lang w:val="en-US" w:eastAsia="zh-CN"/>
              </w:rPr>
              <w:t xml:space="preserve"> 可以</w:t>
            </w:r>
            <w:r>
              <w:rPr>
                <w:rFonts w:hint="eastAsia" w:ascii="宋体" w:hAnsi="宋体" w:eastAsia="宋体" w:cs="宋体"/>
                <w:b w:val="0"/>
                <w:bCs w:val="0"/>
                <w:color w:val="auto"/>
                <w:sz w:val="24"/>
                <w:szCs w:val="24"/>
                <w:lang w:val="en-US" w:eastAsia="zh-CN"/>
              </w:rPr>
              <w:t>确保组织内相关角色的职责和权限得到分配和沟通。</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最高管理者分配给能源管理团队职责和权力</w:t>
            </w:r>
            <w:r>
              <w:rPr>
                <w:rFonts w:hint="eastAsia" w:ascii="宋体" w:hAnsi="宋体" w:cs="宋体"/>
                <w:b w:val="0"/>
                <w:bCs w:val="0"/>
                <w:color w:val="auto"/>
                <w:sz w:val="24"/>
                <w:szCs w:val="24"/>
                <w:lang w:val="en-US" w:eastAsia="zh-CN"/>
              </w:rPr>
              <w:t>包括</w:t>
            </w:r>
            <w:r>
              <w:rPr>
                <w:rFonts w:hint="eastAsia" w:ascii="宋体" w:hAnsi="宋体" w:eastAsia="宋体" w:cs="宋体"/>
                <w:b w:val="0"/>
                <w:bCs w:val="0"/>
                <w:color w:val="auto"/>
                <w:sz w:val="24"/>
                <w:szCs w:val="24"/>
                <w:lang w:val="en-US" w:eastAsia="zh-CN"/>
              </w:rPr>
              <w:t>:</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a)确保环境管理体系的建立、实施、维护和持续改进;</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b)确保EnMS符合本文件的要求;</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c)执行行动计划(见6.2)，持续改善能源性能;</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d)定期向最高管理层汇报EnMS的绩效和能源绩效的改善情况;</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e)建立标准和方法，以确保EnMS的操作和控制是有效的。 </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最高管理者管理职责和权限：</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⑴ 确定能源方针，并实践和保持能源方针；</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⑵ 任命管理者代表和批准组建能源管理团队；</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⑶ 提供能源管理体系建立、实施、保持和持续改进所需要的资源，以达到能源绩效目标（资源包括人力资源、专业技能、技术和财务资源等）。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⑷ 确定能源管理体系的范围和边界；</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⑸ 在内部传达能源管理的重要性；</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⑹ 确保建立能源目标、指标；</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⑺ 确保能源绩效参数适用于本公司；</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⑻ 在长期规划中考虑能源绩效问题；</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⑼ 确保按照规定的时间间隔评价和报告能源管理的结果；</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⑽ 实施管理评审。</w:t>
            </w:r>
          </w:p>
          <w:p>
            <w:pP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——查上述内容在最高管理者的工作中基本得到体现。</w:t>
            </w:r>
          </w:p>
        </w:tc>
        <w:tc>
          <w:tcPr>
            <w:tcW w:w="712" w:type="dxa"/>
            <w:vAlign w:val="top"/>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应对风险和机遇的措施  </w:t>
            </w:r>
          </w:p>
          <w:p>
            <w:pPr>
              <w:rPr>
                <w:rFonts w:hint="eastAsia" w:ascii="宋体" w:hAnsi="宋体" w:eastAsia="宋体" w:cs="宋体"/>
                <w:b w:val="0"/>
                <w:bCs w:val="0"/>
                <w:color w:val="auto"/>
                <w:sz w:val="24"/>
                <w:szCs w:val="24"/>
                <w:lang w:val="en-US" w:eastAsia="zh-CN"/>
              </w:rPr>
            </w:pPr>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6.1.1</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6.1.2</w:t>
            </w:r>
          </w:p>
          <w:p>
            <w:pPr>
              <w:rPr>
                <w:rFonts w:hint="eastAsia" w:ascii="宋体" w:hAnsi="宋体" w:eastAsia="宋体" w:cs="宋体"/>
                <w:b w:val="0"/>
                <w:bCs w:val="0"/>
                <w:color w:val="auto"/>
                <w:sz w:val="24"/>
                <w:szCs w:val="24"/>
                <w:lang w:val="en-US" w:eastAsia="zh-CN"/>
              </w:rPr>
            </w:pPr>
          </w:p>
        </w:tc>
        <w:tc>
          <w:tcPr>
            <w:tcW w:w="10877" w:type="dxa"/>
            <w:vAlign w:val="center"/>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编制了《2021年“能源”风险与机遇评价及应对措施策划表》包括“内外部因素、相关方及其需求、风险类别、风险机遇描述、应对措施的策划、措施有效性评价、执行和责任部门”等内容；其中：</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识别的风险_18项、具体包括“能耗、主要耗能设备能效水平不满足法律法规和政策要求、现有的设备如果比较落后，造成耗能高、如果现有的能源计量管理制度不完善，能源计量器具管理不当，容易造成能源消耗数据不准确，能源考核数据失真，给整体能源管理工作带来较大困扰险”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相应的控制措施为“避免风险、 承担风险、消除风险源、改变风险的可能性和后果、分担风险、延缓风险”等；</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通过应对措施将风险转换为机遇导致“采用新实践、推出新产品、开辟新市场、赢得新客户、建立合作伙伴关系、使用新技术以及能够解决组织或其顾客需求的其他有利可能性”等内容；</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措施评审结论“有效”、有责任部门和相关人员的评审和评价要求信息——查应对措施与其对产品和服务符合性的潜在影响基本相适应、文件有编审批、更新日期2021.1.15；</w:t>
            </w:r>
          </w:p>
        </w:tc>
        <w:tc>
          <w:tcPr>
            <w:tcW w:w="712" w:type="dxa"/>
            <w:vAlign w:val="top"/>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资源</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7.1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0" w:leftChars="0" w:right="0" w:rightChars="0" w:firstLine="0" w:firstLineChars="0"/>
              <w:jc w:val="left"/>
              <w:textAlignment w:val="auto"/>
              <w:outlineLvl w:val="9"/>
              <w:rPr>
                <w:rFonts w:hint="eastAsia" w:ascii="宋体" w:hAnsi="宋体" w:eastAsia="宋体" w:cs="宋体"/>
                <w:b w:val="0"/>
                <w:bCs w:val="0"/>
                <w:color w:val="auto"/>
                <w:sz w:val="24"/>
                <w:szCs w:val="24"/>
                <w:lang w:val="en-US" w:eastAsia="zh-CN"/>
              </w:rPr>
            </w:pPr>
          </w:p>
        </w:tc>
        <w:tc>
          <w:tcPr>
            <w:tcW w:w="108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u w:val="single"/>
                <w:lang w:val="en-US" w:eastAsia="zh-CN"/>
              </w:rPr>
              <w:t>现有资源</w:t>
            </w:r>
            <w:r>
              <w:rPr>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生产设备设施包括湿磨机、干磨机、石灰破磅机等、人员包括中高级技术人员和生产操作人员及办公室行政人员、知识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加气混凝土、混凝土养护技术</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受限情况描述：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组织目前</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能力</w:t>
            </w:r>
            <w:r>
              <w:rPr>
                <w:rFonts w:hint="eastAsia" w:ascii="宋体" w:hAnsi="宋体" w:eastAsia="宋体" w:cs="宋体"/>
                <w:b w:val="0"/>
                <w:bCs w:val="0"/>
                <w:color w:val="auto"/>
                <w:sz w:val="24"/>
                <w:szCs w:val="24"/>
                <w:lang w:val="en-US" w:eastAsia="zh-CN"/>
              </w:rPr>
              <w:t>水平状况</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包括</w:t>
            </w:r>
            <w:r>
              <w:rPr>
                <w:rFonts w:hint="eastAsia" w:ascii="宋体" w:hAnsi="宋体" w:eastAsia="宋体" w:cs="宋体"/>
                <w:b w:val="0"/>
                <w:bCs w:val="0"/>
                <w:color w:val="auto"/>
                <w:sz w:val="24"/>
                <w:szCs w:val="24"/>
              </w:rPr>
              <w:t>现有材料，人力资源及其能力，机械设备，信息和设施</w:t>
            </w:r>
            <w:r>
              <w:rPr>
                <w:rFonts w:hint="eastAsia" w:ascii="宋体" w:hAnsi="宋体" w:eastAsia="宋体" w:cs="宋体"/>
                <w:b w:val="0"/>
                <w:bCs w:val="0"/>
                <w:color w:val="auto"/>
                <w:sz w:val="24"/>
                <w:szCs w:val="24"/>
                <w:lang w:val="en-US" w:eastAsia="zh-CN"/>
              </w:rPr>
              <w:t>等情况的评审情况</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val="en-US" w:eastAsia="zh-CN"/>
              </w:rPr>
              <w:t>基本满足要求</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tc>
        <w:tc>
          <w:tcPr>
            <w:tcW w:w="712" w:type="dxa"/>
            <w:vAlign w:val="top"/>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管理评审</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p>
        </w:tc>
        <w:tc>
          <w:tcPr>
            <w:tcW w:w="108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管理评审计划》评审目的“评价能源管理体系符合性、适宜性和有效性，力求公司持续改进”、管评内容包括“方针适用性和贯彻性、目标指标实现、合规性、文件适宜性、结合内审第三方审核的问题及解决”等9项、会议主持人陈龙；</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提供了《（管理评审）会议签到表》包括李德金詹斌曹静等28人签到信息；202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.12.</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提供“管理评审会议记录”包括“总经理强调了管理评审目的：评价能源管理体系的有效性、适宜性、充分性，及能源管理体系评价”等内容；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提供各部门汇报材料5份、查覆盖了公司的能源相关部门；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管理评审报告》包括时间地点目的内容参评人议程等信息——查符合策划的安排（管评计划）、报告内容“内审结果、能源管理体系运行适宜有效符合性、能源方针目标指标的适宜性和完成情况、能源管理水平、文件管理和能源意识方面 的提高程度、重点用能设备运行效率综合能耗节能量”等项；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管评结论“本公司的能源管理体系基本是适宜的、充分的、有效的，节能的持续改进等”——查内容基本符合标准的要求；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报告批准人</w:t>
            </w:r>
            <w:r>
              <w:rPr>
                <w:rFonts w:hint="eastAsia" w:ascii="宋体" w:hAnsi="宋体" w:cs="宋体"/>
                <w:color w:val="auto"/>
                <w:sz w:val="24"/>
                <w:szCs w:val="24"/>
                <w:lang w:val="en-US" w:eastAsia="zh-CN"/>
              </w:rPr>
              <w:t>陈龙</w:t>
            </w:r>
            <w:r>
              <w:rPr>
                <w:rFonts w:hint="eastAsia" w:ascii="宋体" w:hAnsi="宋体" w:eastAsia="宋体" w:cs="宋体"/>
                <w:color w:val="auto"/>
                <w:sz w:val="24"/>
                <w:szCs w:val="24"/>
                <w:lang w:val="en-US" w:eastAsia="zh-CN"/>
              </w:rPr>
              <w:t>；</w:t>
            </w:r>
          </w:p>
        </w:tc>
        <w:tc>
          <w:tcPr>
            <w:tcW w:w="712" w:type="dxa"/>
            <w:vAlign w:val="top"/>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u w:val="none"/>
                <w:lang w:val="en-US" w:eastAsia="zh-CN"/>
              </w:rPr>
              <w:t>能源管理体系变化情况、证书使用情况、政府部门抽查情况；</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b w:val="0"/>
                <w:bCs w:val="0"/>
                <w:color w:val="auto"/>
                <w:sz w:val="24"/>
                <w:szCs w:val="24"/>
                <w:lang w:val="en-US" w:eastAsia="zh-CN"/>
              </w:rPr>
            </w:pPr>
          </w:p>
        </w:tc>
        <w:tc>
          <w:tcPr>
            <w:tcW w:w="108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2021年自认证以来</w:t>
            </w:r>
            <w:r>
              <w:rPr>
                <w:rFonts w:hint="eastAsia" w:ascii="宋体" w:hAnsi="宋体" w:eastAsia="宋体" w:cs="宋体"/>
                <w:b w:val="0"/>
                <w:bCs w:val="0"/>
                <w:color w:val="auto"/>
                <w:sz w:val="24"/>
                <w:szCs w:val="24"/>
                <w:u w:val="none"/>
                <w:lang w:val="en-US" w:eastAsia="zh-CN"/>
              </w:rPr>
              <w:t>能源管理体系</w:t>
            </w:r>
            <w:r>
              <w:rPr>
                <w:rFonts w:hint="eastAsia" w:ascii="宋体" w:hAnsi="宋体" w:cs="宋体"/>
                <w:b w:val="0"/>
                <w:bCs w:val="0"/>
                <w:color w:val="auto"/>
                <w:sz w:val="24"/>
                <w:szCs w:val="24"/>
                <w:u w:val="none"/>
                <w:lang w:val="en-US" w:eastAsia="zh-CN"/>
              </w:rPr>
              <w:t>没有大的</w:t>
            </w:r>
            <w:r>
              <w:rPr>
                <w:rFonts w:hint="eastAsia" w:ascii="宋体" w:hAnsi="宋体" w:eastAsia="宋体" w:cs="宋体"/>
                <w:b w:val="0"/>
                <w:bCs w:val="0"/>
                <w:color w:val="auto"/>
                <w:sz w:val="24"/>
                <w:szCs w:val="24"/>
                <w:u w:val="none"/>
                <w:lang w:val="en-US" w:eastAsia="zh-CN"/>
              </w:rPr>
              <w:t>变化</w:t>
            </w:r>
            <w:r>
              <w:rPr>
                <w:rFonts w:hint="eastAsia" w:ascii="宋体" w:hAnsi="宋体" w:cs="宋体"/>
                <w:b w:val="0"/>
                <w:bCs w:val="0"/>
                <w:color w:val="auto"/>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证书使用</w:t>
            </w:r>
            <w:r>
              <w:rPr>
                <w:rFonts w:hint="eastAsia" w:ascii="宋体" w:hAnsi="宋体" w:cs="宋体"/>
                <w:b w:val="0"/>
                <w:bCs w:val="0"/>
                <w:color w:val="auto"/>
                <w:sz w:val="24"/>
                <w:szCs w:val="24"/>
                <w:u w:val="none"/>
                <w:lang w:val="en-US" w:eastAsia="zh-CN"/>
              </w:rPr>
              <w:t>正常，没有发现违规使用证书情况；</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u w:val="none"/>
                <w:lang w:val="en-US" w:eastAsia="zh-CN"/>
              </w:rPr>
              <w:t>没有发生</w:t>
            </w:r>
            <w:r>
              <w:rPr>
                <w:rFonts w:hint="eastAsia" w:ascii="宋体" w:hAnsi="宋体" w:eastAsia="宋体" w:cs="宋体"/>
                <w:b w:val="0"/>
                <w:bCs w:val="0"/>
                <w:color w:val="auto"/>
                <w:sz w:val="24"/>
                <w:szCs w:val="24"/>
                <w:u w:val="none"/>
                <w:lang w:val="en-US" w:eastAsia="zh-CN"/>
              </w:rPr>
              <w:t>政府部门抽查情况；</w:t>
            </w:r>
          </w:p>
        </w:tc>
        <w:tc>
          <w:tcPr>
            <w:tcW w:w="712" w:type="dxa"/>
            <w:vAlign w:val="top"/>
          </w:tcPr>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default" w:ascii="宋体" w:hAnsi="宋体" w:cs="宋体"/>
                <w:sz w:val="24"/>
                <w:szCs w:val="24"/>
                <w:lang w:val="en-US" w:eastAsia="zh-CN"/>
              </w:rPr>
            </w:pPr>
            <w:r>
              <w:rPr>
                <w:rFonts w:hint="eastAsia" w:ascii="宋体" w:hAnsi="宋体" w:cs="宋体"/>
                <w:sz w:val="24"/>
                <w:szCs w:val="24"/>
                <w:lang w:val="en-US" w:eastAsia="zh-CN"/>
              </w:rPr>
              <w:t>y</w:t>
            </w:r>
          </w:p>
        </w:tc>
      </w:tr>
    </w:tbl>
    <w:p>
      <w:pPr>
        <w:pStyle w:val="2"/>
      </w:pPr>
    </w:p>
    <w:p>
      <w:pPr>
        <w:pStyle w:val="2"/>
      </w:pPr>
    </w:p>
    <w:p>
      <w:pPr>
        <w:pStyle w:val="2"/>
      </w:pPr>
    </w:p>
    <w:p>
      <w:pPr>
        <w:pStyle w:val="2"/>
      </w:pPr>
    </w:p>
    <w:p>
      <w:pPr>
        <w:pStyle w:val="2"/>
      </w:pPr>
    </w:p>
    <w:p>
      <w:pPr>
        <w:pStyle w:val="2"/>
      </w:pPr>
    </w:p>
    <w:p>
      <w:pPr>
        <w:pStyle w:val="2"/>
      </w:pPr>
    </w:p>
    <w:p>
      <w:pPr>
        <w:pStyle w:val="2"/>
      </w:pPr>
    </w:p>
    <w:tbl>
      <w:tblPr>
        <w:tblStyle w:val="10"/>
        <w:tblpPr w:leftFromText="180" w:rightFromText="180" w:vertAnchor="text" w:horzAnchor="page" w:tblpX="1078" w:tblpY="22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过程与活动、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抽样计划</w:t>
            </w:r>
          </w:p>
        </w:tc>
        <w:tc>
          <w:tcPr>
            <w:tcW w:w="9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涉及</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条款</w:t>
            </w:r>
          </w:p>
        </w:tc>
        <w:tc>
          <w:tcPr>
            <w:tcW w:w="10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受审核部门：采购部       主管领导：王春红             陪同人员：吴传友</w:t>
            </w:r>
          </w:p>
        </w:tc>
        <w:tc>
          <w:tcPr>
            <w:tcW w:w="80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c>
          <w:tcPr>
            <w:tcW w:w="9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c>
          <w:tcPr>
            <w:tcW w:w="10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审核员：周涛、潘荣君       审核时间：2022.3.6</w:t>
            </w:r>
          </w:p>
        </w:tc>
        <w:tc>
          <w:tcPr>
            <w:tcW w:w="80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c>
          <w:tcPr>
            <w:tcW w:w="9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c>
          <w:tcPr>
            <w:tcW w:w="10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审核条款：5.3 组织的岗位、职责和权限、6.2 目标、能源指及其实现的策划、8.3采购、10.1 不符合与纠正措施</w:t>
            </w:r>
          </w:p>
        </w:tc>
        <w:tc>
          <w:tcPr>
            <w:tcW w:w="80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组织的岗位、职责和权限、</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5.3 </w:t>
            </w:r>
          </w:p>
        </w:tc>
        <w:tc>
          <w:tcPr>
            <w:tcW w:w="10788"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负责人：</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采购部</w:t>
            </w:r>
            <w:r>
              <w:rPr>
                <w:rFonts w:hint="eastAsia" w:ascii="宋体" w:hAnsi="宋体" w:eastAsia="宋体" w:cs="宋体"/>
                <w:color w:val="auto"/>
                <w:sz w:val="24"/>
                <w:szCs w:val="24"/>
                <w:lang w:val="en-US" w:eastAsia="zh-CN"/>
              </w:rPr>
              <w:t>职责：</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负责设备</w:t>
            </w:r>
            <w:r>
              <w:rPr>
                <w:rFonts w:hint="default" w:ascii="宋体" w:hAnsi="宋体" w:eastAsia="宋体" w:cs="宋体"/>
                <w:color w:val="auto"/>
                <w:sz w:val="24"/>
                <w:szCs w:val="24"/>
                <w:lang w:val="en-US" w:eastAsia="zh-CN"/>
              </w:rPr>
              <w:t>及配件</w:t>
            </w:r>
            <w:r>
              <w:rPr>
                <w:rFonts w:hint="eastAsia" w:ascii="宋体" w:hAnsi="宋体" w:eastAsia="宋体" w:cs="宋体"/>
                <w:color w:val="auto"/>
                <w:sz w:val="24"/>
                <w:szCs w:val="24"/>
                <w:lang w:val="en-US" w:eastAsia="zh-CN"/>
              </w:rPr>
              <w:t>的</w:t>
            </w:r>
            <w:r>
              <w:rPr>
                <w:rFonts w:hint="default" w:ascii="宋体" w:hAnsi="宋体" w:eastAsia="宋体" w:cs="宋体"/>
                <w:color w:val="auto"/>
                <w:sz w:val="24"/>
                <w:szCs w:val="24"/>
                <w:lang w:val="en-US" w:eastAsia="zh-CN"/>
              </w:rPr>
              <w:t>购置</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负责物资的采购工作；</w:t>
            </w:r>
          </w:p>
        </w:tc>
        <w:tc>
          <w:tcPr>
            <w:tcW w:w="801"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目标、能源指及其实现的策划、</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6.2 </w:t>
            </w:r>
          </w:p>
        </w:tc>
        <w:tc>
          <w:tcPr>
            <w:tcW w:w="10788"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采购部没有分解本部门的能耗，执行公司的总目标。</w:t>
            </w:r>
          </w:p>
        </w:tc>
        <w:tc>
          <w:tcPr>
            <w:tcW w:w="801"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w:t>
            </w:r>
          </w:p>
        </w:tc>
        <w:tc>
          <w:tcPr>
            <w:tcW w:w="10788"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编制了《采购控制程序》、《 供方控制程序》等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负责公司的照明设备采购，与供应商签订框架合同，根据生产或车间的需要，把需求下达给供应商，提供相应的产品提供采购框架合同：包括相关要求、质量要求等。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抽查2020年度供应商评审情况：合格</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抽查采购订单：粉煤灰、磷石膏、水泥、石灰、铝粉等，有质量要求及能源方面的要求。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另提供采购电机的采购单，没有发现强制淘汰的设备，都是节能设备。</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办公照明、空调设备都是节能的设备。</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未提出执行相关节能标准或相关推荐节能产品的要求，已与企业进行沟通。</w:t>
            </w:r>
          </w:p>
        </w:tc>
        <w:tc>
          <w:tcPr>
            <w:tcW w:w="801"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不符合与纠正措施</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10.1 </w:t>
            </w:r>
          </w:p>
        </w:tc>
        <w:tc>
          <w:tcPr>
            <w:tcW w:w="10788"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查内审无不符合项；</w:t>
            </w:r>
          </w:p>
        </w:tc>
        <w:tc>
          <w:tcPr>
            <w:tcW w:w="801"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bl>
    <w:p>
      <w:pPr>
        <w:pStyle w:val="7"/>
        <w:rPr>
          <w:sz w:val="21"/>
          <w:szCs w:val="21"/>
        </w:rPr>
      </w:pPr>
    </w:p>
    <w:p>
      <w:pPr>
        <w:pStyle w:val="7"/>
        <w:rPr>
          <w:sz w:val="21"/>
          <w:szCs w:val="21"/>
        </w:rPr>
      </w:pPr>
    </w:p>
    <w:tbl>
      <w:tblPr>
        <w:tblStyle w:val="10"/>
        <w:tblpPr w:leftFromText="180" w:rightFromText="180" w:vertAnchor="text" w:horzAnchor="page" w:tblpX="1053" w:tblpY="45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过程与活动、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抽样计划</w:t>
            </w:r>
          </w:p>
        </w:tc>
        <w:tc>
          <w:tcPr>
            <w:tcW w:w="9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涉及</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条款</w:t>
            </w:r>
          </w:p>
        </w:tc>
        <w:tc>
          <w:tcPr>
            <w:tcW w:w="10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受审核部门：生产部        主管领导：詹斌              陪同人员：吴传友</w:t>
            </w:r>
          </w:p>
        </w:tc>
        <w:tc>
          <w:tcPr>
            <w:tcW w:w="72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c>
          <w:tcPr>
            <w:tcW w:w="9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c>
          <w:tcPr>
            <w:tcW w:w="10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审核员：周涛、潘荣君              审核时间：2022.3.6</w:t>
            </w:r>
          </w:p>
        </w:tc>
        <w:tc>
          <w:tcPr>
            <w:tcW w:w="722"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c>
          <w:tcPr>
            <w:tcW w:w="9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c>
          <w:tcPr>
            <w:tcW w:w="10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审核条款：5.3 组织的岗位、职责和权限、6.2 目标、能源指及其实现的策划、6.3 能源评审、6.4 能源绩效参数、6.5 能源基准、6.6 采集能源数据的策划、7.4沟通交流、8.1 运行的策划和控制、10.2 持续改进</w:t>
            </w:r>
          </w:p>
        </w:tc>
        <w:tc>
          <w:tcPr>
            <w:tcW w:w="722"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组织的岗位、职责和权限、</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5.3 </w:t>
            </w:r>
          </w:p>
        </w:tc>
        <w:tc>
          <w:tcPr>
            <w:tcW w:w="10867"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负责人：</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1、合理安排生产调度，努力降低能源消耗和损失，提高能源利用率。</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2、负责提供能源基础设施和工作环境。</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3、负责能源体系要求的设备正常运行，做好生产过程的能源控制和对能源过程能力的确认。</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4、能源数据的收集整理上报等统计工作。</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5、参与能源应急预案的编制和落实工作。</w:t>
            </w:r>
          </w:p>
        </w:tc>
        <w:tc>
          <w:tcPr>
            <w:tcW w:w="722"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目标、能源指及其实现的策划、</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6.2 </w:t>
            </w:r>
          </w:p>
        </w:tc>
        <w:tc>
          <w:tcPr>
            <w:tcW w:w="10867"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2021年公司的节能目标：单位产品综合能耗≦7.308kgce/m³</w:t>
            </w:r>
            <w:r>
              <w:rPr>
                <w:rFonts w:hint="eastAsia" w:ascii="宋体" w:hAnsi="宋体" w:cs="宋体"/>
                <w:color w:val="auto"/>
                <w:sz w:val="24"/>
                <w:szCs w:val="24"/>
                <w:lang w:val="en-US" w:eastAsia="zh-CN"/>
              </w:rPr>
              <w:t>;</w:t>
            </w:r>
          </w:p>
          <w:p>
            <w:pPr>
              <w:pStyle w:val="2"/>
              <w:ind w:left="0" w:leftChars="0" w:firstLine="0" w:firstLineChars="0"/>
              <w:rPr>
                <w:rFonts w:hint="default"/>
                <w:lang w:val="en-US" w:eastAsia="zh-CN"/>
              </w:rPr>
            </w:pPr>
            <w:r>
              <w:rPr>
                <w:rFonts w:hint="eastAsia" w:ascii="宋体" w:hAnsi="宋体" w:cs="宋体"/>
                <w:color w:val="auto"/>
                <w:sz w:val="24"/>
                <w:szCs w:val="24"/>
                <w:lang w:val="en-US" w:eastAsia="zh-CN"/>
              </w:rPr>
              <w:t>2021年实际完成：单位产品综合能耗：6.824kgce/m³。</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年公司的节能目标：单位产品综合能耗≦</w:t>
            </w:r>
            <w:r>
              <w:rPr>
                <w:rFonts w:hint="eastAsia" w:ascii="宋体" w:hAnsi="宋体" w:cs="宋体"/>
                <w:color w:val="auto"/>
                <w:sz w:val="24"/>
                <w:szCs w:val="24"/>
                <w:lang w:val="en-US" w:eastAsia="zh-CN"/>
              </w:rPr>
              <w:t>6.824kgce/m³。（以2021年实际为2022年的目标）</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2022年还没有进行考核。</w:t>
            </w:r>
          </w:p>
        </w:tc>
        <w:tc>
          <w:tcPr>
            <w:tcW w:w="722"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能源评审、</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能源绩效参数</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能源基准、</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6.3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6.4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6.5 </w:t>
            </w:r>
          </w:p>
        </w:tc>
        <w:tc>
          <w:tcPr>
            <w:tcW w:w="10867"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年2月进行了能源评审，其中生产部的能源消耗：</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经统计分析，本公司主要消耗的能源为电力、柴油、天然气、自来水（新水）；</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能源种类及来源</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经统计分析，本公司主要消耗的能源为电力、柴油、蒸汽；</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电力——来源于国家电网襄阳供电公司；主要用于粉煤灰加气混凝土砌块产品生产加工；</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柴油——来源于中石化湖北襄阳分公司；主要用于叉车、装载机厂区内装卸运输；</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蒸汽——来源华电襄阳发电厂；主要用于粉煤灰加气混凝土砌块产品的蒸养、加工。</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自来水（新水）------主要用于研磨和制浆；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办公耗电：空调、照明、电脑；</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生产工艺流程</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预处理配料（粉煤灰、散装水泥、铝粉）→ 加装计量配比组份 → 搅拌、浇注 →切割成型 → 加气蒸压成品 → 输送至成品堆料场。</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主要用能区域</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主要生产系统：加气混凝土砌块生产线。</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辅助生产系统： 综合办（能源体系推进部门）、财务部，生产浇筑、恒温、预养、洒水、清洗等过程。</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附属生产系统：宿舍、食堂等。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主要耗能设备</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提供《生产设备台账》、《重点耗能设备清单》包括“装载机、球磨机、搅拌罐”等；其中变压器功率因数确定为：0.95 ，符合标准要求（（GB/T17774-1996））；</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主要及辅助设备中电机使用情况</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提供《电机台账》包括电机的规格型号、功率、数量、使用状况、责任人等信息；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能源计量管理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根据国家标准GB17167《用能单位能源计量器具配备和管理通则》的相关规定，进出主要次级用能单位电表配备率应达到100%。目前公司已达到相关要求。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能源消耗限额</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目前国家及湖北省均没有能耗限额等级标准；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公司根据企业实际能耗情况,参考《蒸汽加压混凝土砌块单位产品综合消耗限额》（贵州省地标DB52/T 1172-2017)、《</w:t>
            </w:r>
            <w:r>
              <w:rPr>
                <w:rFonts w:hint="default" w:ascii="宋体" w:hAnsi="宋体" w:eastAsia="宋体" w:cs="宋体"/>
                <w:color w:val="auto"/>
                <w:sz w:val="24"/>
                <w:szCs w:val="24"/>
                <w:lang w:val="en-US" w:eastAsia="zh-CN"/>
              </w:rPr>
              <w:t>蒸压加气混凝土砌块单位产品能耗限额</w:t>
            </w:r>
            <w:r>
              <w:rPr>
                <w:rFonts w:hint="eastAsia" w:ascii="宋体" w:hAnsi="宋体" w:eastAsia="宋体" w:cs="宋体"/>
                <w:color w:val="auto"/>
                <w:sz w:val="24"/>
                <w:szCs w:val="24"/>
                <w:lang w:val="en-US" w:eastAsia="zh-CN"/>
              </w:rPr>
              <w:t>》（浙江省）</w:t>
            </w:r>
            <w:r>
              <w:rPr>
                <w:rFonts w:hint="default" w:ascii="宋体" w:hAnsi="宋体" w:eastAsia="宋体" w:cs="宋体"/>
                <w:color w:val="auto"/>
                <w:sz w:val="24"/>
                <w:szCs w:val="24"/>
                <w:lang w:val="en-US" w:eastAsia="zh-CN"/>
              </w:rPr>
              <w:t>（DB33/866-2012）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www.so.com/link?m=bmeg4RahNqzY8iwvhOxXXZuwBiymiWXRvA96NkJ9o/LCHQrJuStARsxGuVlJAQ7NQ2TCkOZ6ZZW8i5o95UoNfCXK09gCJ3E1oJgwm0ttA7F3ZWvW16n0yBvEhk6zq3y0QxSpXuR6pA+zpiUMnDEJzsMpka2Fs1RudTLLYnieZZHbdYddIPd10wkoUGyOBnHRpuPDlV90L4YKKeY6Z2sqbVdo4r/gKtnYW/UijrMI726lfSotWgZOYm3B8f8yJIeAtSns5HjgHSqbCOzzDZBc5mDOVls7b7xY5oD6wv3uD37hFkDkllCno+xApmlT5r58JG6+4bw==" \t "https://www.so.com/_blank"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预拌混凝土单位产品能源消耗限额</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》（GB 36888-2018），及同行业的先进能耗指标开展对标管理工作,制定能源消耗定额标准目标和管理办法,定期分析实际消耗情况及消耗指标降低和升高的原因，通过每月能耗统计目标指标考核、绩效考核及每日的运行检查及不定期的综合大检查,确保能源管理体系的有效运行｡</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能源参数：</w:t>
            </w:r>
            <w:r>
              <w:rPr>
                <w:rFonts w:hint="eastAsia" w:ascii="宋体" w:hAnsi="宋体" w:cs="宋体"/>
                <w:color w:val="auto"/>
                <w:sz w:val="24"/>
                <w:szCs w:val="24"/>
                <w:lang w:val="en-US" w:eastAsia="zh-CN"/>
              </w:rPr>
              <w:t>kgce/m³</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能源基准：</w:t>
            </w:r>
            <w:r>
              <w:rPr>
                <w:rFonts w:hint="eastAsia" w:ascii="Times New Roman" w:hAnsi="Times New Roman" w:cs="Times New Roman"/>
                <w:lang w:val="en-US" w:eastAsia="zh-CN"/>
              </w:rPr>
              <w:t>≦19Kgce/m³</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改进机会识别：</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）变频技术改造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变频调速技术以其显著的节电效果、优良的调速性能以及广泛的适用性、系统的安全可靠性和延长设备使用寿命等优点而成为现代电力传动技术的一个主要发展方向。原无变频电机采用直接启动，电流对设备的冲击很大，不能完全保证安全运行，增加了设备维护量，而且造成了电量的损失。通过变频调速技术可以将日常生产用的确定电压、频率的交流电，经变换器变换为可改变频率和电压的交流电，从而调整电机的转速，对电能的消耗将大大降低。</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在实际生产中，为了追求设备作业率，加上设备质量、操作等方面的原因，往往人为地把电机功率增大，造成“大马拉小车”现象，使电机无功功率升高，浪费了电能。故应用三相异步电机无功就地补偿技术或移相节电技术，提高系统功率因数，减少无功功率，节约电能。</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变压器选用新型节能产品，减少变压器的损耗，节约电费；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3</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电机采用功率因数高的产品，降低正常运行中的自身损耗，从根本上避免了能源的浪费；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4</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高压真空断路器选用弹簧储能的操作结构，合跳闸电流小，所需的直流电源容量小，自身损耗低；</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5</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变压器在电源侧装置有功电度表，无功电度表和功率因数表，并配置相应的动态无功补偿装置。检测并记录电压、电流、功率、功率因数、有功电量、无功电量等。在低负荷时，调整无功补偿设备的容量，防止过补偿；</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6</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在各车间入口设水计量装置对水量进行指标分解，从而达到节水目的；</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7</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采用先进、合理的保温设计，降低系统的热量损失。</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评审结论</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根据能源评审工作，公司能源评审组一致认为：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1、公司目前的能源管理现状基本能够满足国家、地方及行业方面法律法规及其他要求；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2、公司的单位产品能源消耗与国家标准，优于标准的先进水平。</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公司应进一步加强能源管理工作，进一步完善有关能源管理的文件制度。</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、继续明确职责，确保能源管理体系的有效建立和运行。</w:t>
            </w:r>
          </w:p>
        </w:tc>
        <w:tc>
          <w:tcPr>
            <w:tcW w:w="722"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采集能源数据的策划、</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6.6 </w:t>
            </w:r>
          </w:p>
        </w:tc>
        <w:tc>
          <w:tcPr>
            <w:tcW w:w="10867"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定《监视、测量与分析控制程序》，确保在计划的时间间隔内确定、测量、监测和分析其影响能源性能的业务的关键特征(见组织应定义和实施与其规模、复杂性、资源及其测量和监测设备相适应的能源数据收集计划。计划应指定监测关键特性所需的数据，并说明应以何种方式、以何种频率收集和保留数据。</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生产部采集能源的数据为：生产每台设备搅拌池用电量、蒸养釜的耗蒸汽量、切割机的用电量。</w:t>
            </w:r>
          </w:p>
        </w:tc>
        <w:tc>
          <w:tcPr>
            <w:tcW w:w="722"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沟通交流</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w:t>
            </w:r>
          </w:p>
        </w:tc>
        <w:tc>
          <w:tcPr>
            <w:tcW w:w="10867"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内部沟通的内容：能源管理体系的过程及有效性，包括节能要求、能源目标完成情况的报告、以及实施的有效性的分析、评审报告，过程流程等内容进行全方位沟通，绩效良好，能保障管理体系的有效，过程绩效，能源目标达成的情况。</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外部沟通的内容包括：法律法规要求、能源主管部门等主管部门的要求等相关方面关于能源方面信息的交流；</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公司信息交流的对象：不同岗位、部门，对与能源管理体系有关的各种信息，相互了解，达到全员参与的效果。</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公司信息交流的形式和工具：采用各种会议、培训、微信、文件报告分发、电话、座谈等各种方式。</w:t>
            </w:r>
          </w:p>
        </w:tc>
        <w:tc>
          <w:tcPr>
            <w:tcW w:w="722"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运行的策划和控制、</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8.1 </w:t>
            </w:r>
          </w:p>
        </w:tc>
        <w:tc>
          <w:tcPr>
            <w:tcW w:w="10867"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生产部能耗的策划：制定并执行《运行控制程序》，计划、实施和控制，以满足标准的要求。由:</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制定有关过程的标准，包括设施、设备、系统和能源使用过程的有效操作和维护，如果没有这些过程，可能会导致对预期能源性能的重大偏离;</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b)向在组织控制下工作的相关人员传达;</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c)按照标准实施对过程的控制，包括按照既定标准操作和维护设施、设备、系统和能源使用过程;</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d)在必要的范围内保存文件化的信息，以确保过程已按计划进行。</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控制计划中的变更，并审查意外变更的后果，并在必要时采取行动减轻任何不利影响。</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能耗控制：</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一、节电方面</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为了节能降耗，合理的用电避峰，车间制定了《关于生产车间用电避峰的通知》，并于9月10日开始发放实施。建议将运转班中班取消，改上早班和大夜班。这样车间峰期用电从原先的8小时减为3小时。大大降低了用电费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2、在光线能达到生产要求的情况下禁止开启照明用电，建议更改现有的照明用电</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控制开关，分开控制。（现有的一个开关控制十几盏灯）</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冷水机组在水温能达到生产要求的情况下限时开启。</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办公室用电应与车间用电分开计量，建议增加分表。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合理的安排生产，在生产任务不饱和的情况下尽量集中处理在线产品，（特别是退火、浸润、喷涂岗位）。</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4.车间生产操作人员应减少设备空载运行，加强人员的巡检，杜绝跑、冒、滴、漏的现象发生。</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二.物料管控方面</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规范车间物料领用流程，所有使用的物料领用由专职人员凭有效领料单领取，对所领用的物资领料人员必须严把质量、价格、数量关。由车间主任负责监督；不符合要求的物料车间坚决不领用。生产车间物资领用，原则上要求采用以旧换新制度（消耗性物资除外），没有旧物，物料管理员 不得发放物资。对当月所领用的物资要分类建立台账，合理控制。</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2.生产岗位做好所有物料的周转、防护工作，杜绝人为原因造成的浪费。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3.生产压制领粉实行工单制度，即领多少粉就要压多少产品，压不到数量的必须找出原因，给出对策。</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4.原料和机修备件要建立月使用计划和更换记录台账，合理的提前做好预算，减少库存数量，避免资金积压。</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三.工艺技术改进方面</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1.提高技术水平，把设备电机改为变频电机，最大程度上减少生产制造成本。</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四.管理方面</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1.加强员工的操作技能，加强质量管理工作，提高一次合格率，减少报废品的产生。</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2.开展班组劳动竞赛，评优创先活动，对在损耗、合格率指标等方面做出突出成绩的班组进行奖励。</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3.加强生产环节的进程控制，合理组织，优化和缩短生产流程时间。</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4.不断总结经验，提高产品生产的控制水平，在满足公司技术标准的前提下，科学合理的控制产品压制重量限度，提高产出率。</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5.提高员工节能降耗意识，不断提高班组员工的操作技能并完善，在操作过程中，发挥主观能动性，及时发现工序中的能耗浪费点，挖掘节能潜力。</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6.提高班组管理人员的整体素质，让他们清醒的认识到节能降耗对公司发展的重要性.</w:t>
            </w:r>
          </w:p>
        </w:tc>
        <w:tc>
          <w:tcPr>
            <w:tcW w:w="722"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w:t>
            </w:r>
          </w:p>
        </w:tc>
      </w:tr>
    </w:tbl>
    <w:p>
      <w:pPr>
        <w:pStyle w:val="7"/>
        <w:rPr>
          <w:sz w:val="21"/>
          <w:szCs w:val="21"/>
        </w:rPr>
      </w:pPr>
    </w:p>
    <w:p>
      <w:pPr>
        <w:pStyle w:val="7"/>
        <w:rPr>
          <w:sz w:val="21"/>
          <w:szCs w:val="21"/>
        </w:rPr>
      </w:pPr>
    </w:p>
    <w:p>
      <w:pPr>
        <w:pStyle w:val="7"/>
        <w:rPr>
          <w:sz w:val="21"/>
          <w:szCs w:val="21"/>
        </w:rPr>
      </w:pPr>
    </w:p>
    <w:p>
      <w:pPr>
        <w:pStyle w:val="7"/>
        <w:rPr>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8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87" w:type="dxa"/>
            <w:vAlign w:val="center"/>
          </w:tcPr>
          <w:p>
            <w:pPr>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rPr>
              <w:t>受审核</w:t>
            </w:r>
            <w:r>
              <w:rPr>
                <w:rFonts w:hint="eastAsia" w:ascii="宋体" w:hAnsi="宋体" w:eastAsia="宋体" w:cs="宋体"/>
                <w:sz w:val="24"/>
                <w:szCs w:val="24"/>
                <w:lang w:val="en-US" w:eastAsia="zh-CN"/>
              </w:rPr>
              <w:t>部门：综合办公室</w:t>
            </w:r>
            <w:r>
              <w:rPr>
                <w:rFonts w:hint="eastAsia" w:ascii="宋体" w:hAnsi="宋体" w:eastAsia="宋体" w:cs="宋体"/>
                <w:color w:val="auto"/>
                <w:sz w:val="24"/>
                <w:szCs w:val="24"/>
                <w:lang w:val="en-US" w:eastAsia="zh-CN"/>
              </w:rPr>
              <w:t xml:space="preserve">      </w:t>
            </w:r>
            <w:r>
              <w:rPr>
                <w:rFonts w:hint="eastAsia" w:ascii="宋体" w:hAnsi="宋体" w:eastAsia="宋体" w:cs="宋体"/>
                <w:sz w:val="24"/>
                <w:szCs w:val="24"/>
                <w:lang w:val="en-US" w:eastAsia="zh-CN"/>
              </w:rPr>
              <w:t>主管领导：李德金           陪同人员：李宁</w:t>
            </w:r>
          </w:p>
        </w:tc>
        <w:tc>
          <w:tcPr>
            <w:tcW w:w="90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87"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cs="宋体"/>
                <w:sz w:val="24"/>
                <w:szCs w:val="24"/>
                <w:lang w:val="en-US" w:eastAsia="zh-CN"/>
              </w:rPr>
              <w:t xml:space="preserve">周涛、潘荣君 </w:t>
            </w:r>
            <w:r>
              <w:rPr>
                <w:rFonts w:hint="eastAsia" w:ascii="宋体" w:hAnsi="宋体" w:eastAsia="宋体" w:cs="宋体"/>
                <w:color w:val="0000FF"/>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3.6</w:t>
            </w:r>
          </w:p>
        </w:tc>
        <w:tc>
          <w:tcPr>
            <w:tcW w:w="9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vMerge w:val="continue"/>
            <w:vAlign w:val="center"/>
          </w:tcPr>
          <w:p/>
        </w:tc>
        <w:tc>
          <w:tcPr>
            <w:tcW w:w="960" w:type="dxa"/>
            <w:vMerge w:val="continue"/>
            <w:vAlign w:val="center"/>
          </w:tcPr>
          <w:p/>
        </w:tc>
        <w:tc>
          <w:tcPr>
            <w:tcW w:w="10687" w:type="dxa"/>
            <w:vAlign w:val="center"/>
          </w:tcPr>
          <w:p>
            <w:pPr>
              <w:rPr>
                <w:sz w:val="24"/>
                <w:szCs w:val="24"/>
              </w:rPr>
            </w:pPr>
            <w:r>
              <w:rPr>
                <w:rFonts w:hint="eastAsia"/>
                <w:sz w:val="24"/>
                <w:szCs w:val="24"/>
              </w:rPr>
              <w:t>审核条款：</w:t>
            </w:r>
            <w:r>
              <w:rPr>
                <w:rFonts w:hint="eastAsia" w:ascii="宋体" w:hAnsi="宋体" w:eastAsia="宋体" w:cs="宋体"/>
                <w:color w:val="auto"/>
                <w:sz w:val="24"/>
                <w:szCs w:val="24"/>
                <w:lang w:val="en-US" w:eastAsia="zh-CN"/>
              </w:rPr>
              <w:t>5.3 组织的岗位、职责和权限、6.2 目标、能源指及其实现的策划、7.2 能力、7.3 意识、7.4沟通交流、7.5 文件化信息、8.1 运行的策划和控制、9.1.1 能源绩效和能源管理体系的监视、测量、分析和评价、9.1.2 法律法规要求和其他要求的合规性评价、9.2 内部审核、10.1 不符合与纠正措施、10.2 持续改进</w:t>
            </w:r>
          </w:p>
        </w:tc>
        <w:tc>
          <w:tcPr>
            <w:tcW w:w="9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tc>
        <w:tc>
          <w:tcPr>
            <w:tcW w:w="960"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5.3 </w:t>
            </w:r>
          </w:p>
          <w:p>
            <w:pPr>
              <w:jc w:val="left"/>
              <w:rPr>
                <w:rFonts w:hint="eastAsia" w:ascii="宋体" w:hAnsi="宋体" w:eastAsia="宋体" w:cs="宋体"/>
                <w:b w:val="0"/>
                <w:bCs w:val="0"/>
                <w:color w:val="auto"/>
                <w:sz w:val="24"/>
                <w:szCs w:val="24"/>
                <w:u w:val="none"/>
                <w:lang w:val="en-US" w:eastAsia="zh-CN"/>
              </w:rPr>
            </w:pPr>
          </w:p>
        </w:tc>
        <w:tc>
          <w:tcPr>
            <w:tcW w:w="10687"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能源岗位人员和岗位设置：</w:t>
            </w:r>
          </w:p>
          <w:p>
            <w:pPr>
              <w:numPr>
                <w:ilvl w:val="0"/>
                <w:numId w:val="0"/>
              </w:numP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综合部</w:t>
            </w:r>
            <w:r>
              <w:rPr>
                <w:rFonts w:hint="eastAsia" w:ascii="宋体" w:hAnsi="宋体" w:cs="宋体"/>
                <w:b w:val="0"/>
                <w:bCs w:val="0"/>
                <w:color w:val="auto"/>
                <w:sz w:val="24"/>
                <w:szCs w:val="24"/>
                <w:u w:val="none"/>
                <w:lang w:val="en-US" w:eastAsia="zh-CN"/>
              </w:rPr>
              <w:t>2</w:t>
            </w:r>
            <w:r>
              <w:rPr>
                <w:rFonts w:hint="eastAsia" w:ascii="宋体" w:hAnsi="宋体" w:eastAsia="宋体" w:cs="宋体"/>
                <w:b w:val="0"/>
                <w:bCs w:val="0"/>
                <w:color w:val="auto"/>
                <w:sz w:val="24"/>
                <w:szCs w:val="24"/>
                <w:u w:val="none"/>
                <w:lang w:val="en-US" w:eastAsia="zh-CN"/>
              </w:rPr>
              <w:t>人</w:t>
            </w:r>
            <w:r>
              <w:rPr>
                <w:rFonts w:hint="eastAsia" w:ascii="宋体" w:hAnsi="宋体" w:cs="宋体"/>
                <w:b w:val="0"/>
                <w:bCs w:val="0"/>
                <w:color w:val="auto"/>
                <w:sz w:val="24"/>
                <w:szCs w:val="24"/>
                <w:u w:val="none"/>
                <w:lang w:val="en-US" w:eastAsia="zh-CN"/>
              </w:rPr>
              <w:t>、主管和文员各一人</w:t>
            </w:r>
            <w:r>
              <w:rPr>
                <w:rFonts w:hint="eastAsia" w:ascii="宋体" w:hAnsi="宋体" w:eastAsia="宋体" w:cs="宋体"/>
                <w:b w:val="0"/>
                <w:bCs w:val="0"/>
                <w:color w:val="auto"/>
                <w:sz w:val="24"/>
                <w:szCs w:val="24"/>
                <w:u w:val="none"/>
                <w:lang w:val="en-US" w:eastAsia="zh-CN"/>
              </w:rPr>
              <w:t>。</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u w:val="none"/>
                <w:lang w:val="en-US" w:eastAsia="zh-CN"/>
              </w:rPr>
              <w:t>主</w:t>
            </w:r>
            <w:r>
              <w:rPr>
                <w:rFonts w:hint="eastAsia" w:ascii="宋体" w:hAnsi="宋体" w:eastAsia="宋体" w:cs="宋体"/>
                <w:b w:val="0"/>
                <w:bCs w:val="0"/>
                <w:color w:val="auto"/>
                <w:sz w:val="24"/>
                <w:szCs w:val="24"/>
                <w:u w:val="single"/>
                <w:lang w:val="en-US" w:eastAsia="zh-CN"/>
              </w:rPr>
              <w:t>要工作内容和职责</w:t>
            </w:r>
            <w:r>
              <w:rPr>
                <w:rFonts w:hint="eastAsia" w:ascii="宋体" w:hAnsi="宋体" w:eastAsia="宋体" w:cs="宋体"/>
                <w:b w:val="0"/>
                <w:bCs w:val="0"/>
                <w:color w:val="auto"/>
                <w:sz w:val="24"/>
                <w:szCs w:val="24"/>
                <w:u w:val="none"/>
                <w:lang w:val="en-US" w:eastAsia="zh-CN"/>
              </w:rPr>
              <w:t>权限：</w:t>
            </w:r>
          </w:p>
          <w:p>
            <w:pPr>
              <w:numPr>
                <w:ilvl w:val="0"/>
                <w:numId w:val="0"/>
              </w:numPr>
              <w:rPr>
                <w:rFonts w:hint="eastAsia" w:ascii="宋体" w:hAnsi="宋体" w:eastAsia="宋体" w:cs="宋体"/>
                <w:b w:val="0"/>
                <w:bCs w:val="0"/>
                <w:color w:val="auto"/>
                <w:sz w:val="24"/>
                <w:szCs w:val="24"/>
                <w:u w:val="none"/>
                <w:lang w:val="en-US" w:eastAsia="zh-CN"/>
              </w:rPr>
            </w:pPr>
            <w:r>
              <w:rPr>
                <w:rFonts w:hint="eastAsia" w:ascii="宋体" w:hAnsi="宋体" w:eastAsia="宋体" w:cs="宋体"/>
                <w:color w:val="auto"/>
                <w:sz w:val="24"/>
                <w:szCs w:val="24"/>
                <w:lang w:val="en-US" w:eastAsia="zh-CN"/>
              </w:rPr>
              <w:t>负责贯彻落实国家发布的节能方针、政策、法律、法规、标准及规定，编制实施公司节能规划及年度计划。负责能源管理体系培训计划的编制、落实和检查；确保能源管理人员和主要耗能设备操作人员培训达标。负责公司的能源统计和上报工作。负责能源管理内外部信息的交流及外来文件的接收、传递、控制等工作。制定内审计划和方案，参与能源管理体系管理评审，确保体系的正常运行。能源管理体系的文件归口管理部门，负责编制及发布能源管理手册及相关文件。负责公司文件的制定、完善和管理文件的接收、发放、销毁等控制工作。负责监督、督促、维护、监控公司能源管理体系的运行情况；每月对各部门管理目标完成情况进行能源绩效考核。根据本公司能源管理体系运行的需要，建立和调整公司结构，规定各部门的职责和权限，建立通畅的内部沟通渠道。</w:t>
            </w:r>
            <w:r>
              <w:rPr>
                <w:rFonts w:hint="eastAsia" w:ascii="宋体" w:hAnsi="宋体" w:cs="宋体"/>
                <w:color w:val="auto"/>
                <w:sz w:val="24"/>
                <w:szCs w:val="24"/>
                <w:lang w:val="en-US" w:eastAsia="zh-CN"/>
              </w:rPr>
              <w:t>人员培</w:t>
            </w:r>
            <w:r>
              <w:rPr>
                <w:rFonts w:hint="eastAsia" w:ascii="宋体" w:hAnsi="宋体" w:cs="宋体"/>
                <w:color w:val="auto"/>
                <w:sz w:val="24"/>
                <w:szCs w:val="24"/>
                <w:u w:val="single"/>
                <w:lang w:val="en-US" w:eastAsia="zh-CN"/>
              </w:rPr>
              <w:t>训教育</w:t>
            </w:r>
            <w:r>
              <w:rPr>
                <w:rFonts w:hint="eastAsia" w:ascii="宋体" w:hAnsi="宋体" w:eastAsia="宋体" w:cs="宋体"/>
                <w:color w:val="auto"/>
                <w:sz w:val="24"/>
                <w:szCs w:val="24"/>
                <w:u w:val="single"/>
                <w:lang w:val="en-US" w:eastAsia="zh-CN"/>
              </w:rPr>
              <w:t>提高广大员工的节能</w:t>
            </w:r>
            <w:r>
              <w:rPr>
                <w:rFonts w:hint="eastAsia" w:ascii="宋体" w:hAnsi="宋体" w:eastAsia="宋体" w:cs="宋体"/>
                <w:color w:val="auto"/>
                <w:sz w:val="24"/>
                <w:szCs w:val="24"/>
                <w:lang w:val="en-US" w:eastAsia="zh-CN"/>
              </w:rPr>
              <w:t>意识。搜集、存档能源管理方面的法律法规文件，并定期评价对适用法律法规和其他要求的遵守情况。收集、整理节能新技术、新设备及新能源和再生能源有效利用方面的信息。</w:t>
            </w:r>
          </w:p>
        </w:tc>
        <w:tc>
          <w:tcPr>
            <w:tcW w:w="902" w:type="dxa"/>
          </w:tc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pPr>
              <w:rPr>
                <w:rFonts w:hint="eastAsia" w:eastAsia="宋体"/>
                <w:lang w:eastAsia="zh-CN"/>
              </w:rPr>
            </w:pPr>
            <w:r>
              <w:rPr>
                <w:rFonts w:hint="eastAsia" w:ascii="宋体" w:hAnsi="宋体" w:cs="宋体"/>
                <w:sz w:val="24"/>
                <w:szCs w:val="24"/>
                <w:lang w:val="en-US" w:eastAsia="zh-CN"/>
              </w:rPr>
              <w:t xml:space="preserve">  </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pPr>
              <w:rPr>
                <w:rFonts w:hint="eastAsia" w:ascii="宋体" w:hAnsi="宋体" w:eastAsia="宋体" w:cs="宋体"/>
                <w:sz w:val="24"/>
                <w:szCs w:val="24"/>
                <w:lang w:val="en-US" w:eastAsia="zh-CN"/>
              </w:rPr>
            </w:pPr>
          </w:p>
          <w:p>
            <w:r>
              <w:rPr>
                <w:rFonts w:hint="eastAsia" w:ascii="宋体" w:hAnsi="宋体" w:cs="宋体"/>
                <w:sz w:val="24"/>
                <w:szCs w:val="24"/>
                <w:lang w:val="en-US" w:eastAsia="zh-CN"/>
              </w:rPr>
              <w:t xml:space="preserve"> </w:t>
            </w:r>
          </w:p>
        </w:tc>
        <w:tc>
          <w:tcPr>
            <w:tcW w:w="10687" w:type="dxa"/>
            <w:vAlign w:val="top"/>
          </w:tcPr>
          <w:p>
            <w:pPr>
              <w:numPr>
                <w:ilvl w:val="0"/>
                <w:numId w:val="0"/>
              </w:num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本部门的能源目标指标“</w:t>
            </w:r>
            <w:r>
              <w:rPr>
                <w:rFonts w:hint="eastAsia" w:ascii="宋体" w:hAnsi="宋体" w:cs="宋体"/>
                <w:color w:val="auto"/>
                <w:sz w:val="24"/>
                <w:szCs w:val="24"/>
                <w:lang w:val="en-US" w:eastAsia="zh-CN"/>
              </w:rPr>
              <w:t>人员能源培训完成率100%</w:t>
            </w:r>
            <w:r>
              <w:rPr>
                <w:rFonts w:hint="eastAsia" w:ascii="宋体" w:hAnsi="宋体" w:eastAsia="宋体" w:cs="宋体"/>
                <w:color w:val="auto"/>
                <w:sz w:val="24"/>
                <w:szCs w:val="24"/>
                <w:lang w:val="en-US" w:eastAsia="zh-CN"/>
              </w:rPr>
              <w:t>”——查结合了“法律法规要求”、“主要能源使用和改进机会”、“财务”、“运行”、“经营条件”、“技术和相关方要求”等——基本符合标准要求；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查部门202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年以来目标指标基本达成、符合规定；</w:t>
            </w:r>
          </w:p>
        </w:tc>
        <w:tc>
          <w:tcPr>
            <w:tcW w:w="902" w:type="dxa"/>
            <w:vAlign w:val="top"/>
          </w:tcPr>
          <w:p>
            <w:pPr>
              <w:rPr>
                <w:rFonts w:hint="eastAsia"/>
              </w:rPr>
            </w:pPr>
          </w:p>
          <w:p>
            <w:pPr>
              <w:pStyle w:val="2"/>
              <w:rPr>
                <w:rFonts w:hint="eastAsia" w:eastAsia="宋体"/>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vAlign w:val="top"/>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运行的策划和控制</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能力培训</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意识</w:t>
            </w:r>
          </w:p>
        </w:tc>
        <w:tc>
          <w:tcPr>
            <w:tcW w:w="960" w:type="dxa"/>
            <w:vAlign w:val="top"/>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p>
            <w:pPr>
              <w:numPr>
                <w:ilvl w:val="0"/>
                <w:numId w:val="0"/>
              </w:numPr>
              <w:ind w:leftChars="0"/>
              <w:rPr>
                <w:rFonts w:hint="eastAsia"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8.1 7.2</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7.3</w:t>
            </w:r>
          </w:p>
        </w:tc>
        <w:tc>
          <w:tcPr>
            <w:tcW w:w="10687" w:type="dxa"/>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制定《能源管理制度》本部门按照要求执行、日常注意节水节电、节省办公用柴汽油量；</w:t>
            </w:r>
          </w:p>
          <w:p>
            <w:pPr>
              <w:pStyle w:val="2"/>
              <w:rPr>
                <w:rFonts w:hint="eastAsia"/>
                <w:lang w:val="en-US" w:eastAsia="zh-CN"/>
              </w:rPr>
            </w:pP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查人员能力培训材料：</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编制了《能源岗位说明书》包括涉及的重点用能岗位、人员要求、学历和经历要求等；现场抽查炼钢操作工和生产部主</w:t>
            </w:r>
            <w:r>
              <w:rPr>
                <w:rFonts w:hint="eastAsia" w:ascii="宋体" w:hAnsi="宋体" w:cs="宋体"/>
                <w:sz w:val="24"/>
                <w:szCs w:val="24"/>
                <w:lang w:val="en-US" w:eastAsia="zh-CN"/>
              </w:rPr>
              <w:t>管</w:t>
            </w:r>
            <w:r>
              <w:rPr>
                <w:rFonts w:hint="eastAsia" w:ascii="宋体" w:hAnsi="宋体" w:eastAsia="宋体" w:cs="宋体"/>
                <w:sz w:val="24"/>
                <w:szCs w:val="24"/>
                <w:lang w:val="en-US" w:eastAsia="zh-CN"/>
              </w:rPr>
              <w:t>各1人——基本满足岗位要求、符合规定；</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年度培训计划（能源体系）》共4项——均涉及能源管理体系的相关要求；时间范围202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.；参加人员包括主要领导、能源小组、重点用能岗位、内审员——基本符合规定；</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抽查1条记录、提供《培训记录表》、题目 “安全节能生产”（202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.10.22）、签到显示包括詹斌陈贵平曹静王春红等人信息、培训内容：</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1、各种主要能耗设备操作指导书（含节能技术和经济运行要求）、</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2、应急预案、</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3、应急物资的管理要求，如设备的检查，管路的检查等、</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4、发现设备或管路漏气、漏水、油类泄漏的应急措施；</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培训老师： </w:t>
            </w:r>
            <w:r>
              <w:rPr>
                <w:rFonts w:hint="eastAsia" w:ascii="宋体" w:hAnsi="宋体" w:cs="宋体"/>
                <w:sz w:val="24"/>
                <w:szCs w:val="24"/>
                <w:lang w:val="en-US" w:eastAsia="zh-CN"/>
              </w:rPr>
              <w:t>吴传友</w:t>
            </w:r>
            <w:r>
              <w:rPr>
                <w:rFonts w:hint="eastAsia" w:ascii="宋体" w:hAnsi="宋体" w:eastAsia="宋体" w:cs="宋体"/>
                <w:sz w:val="24"/>
                <w:szCs w:val="24"/>
                <w:lang w:val="en-US" w:eastAsia="zh-CN"/>
              </w:rPr>
              <w:t>；</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提供《培训效果自我评价表》培训评价20条打分制、成绩显示参培人员成绩合格、评价人吴传友；202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.10.22。</w:t>
            </w:r>
          </w:p>
        </w:tc>
        <w:tc>
          <w:tcPr>
            <w:tcW w:w="902" w:type="dxa"/>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信息交流</w:t>
            </w:r>
          </w:p>
        </w:tc>
        <w:tc>
          <w:tcPr>
            <w:tcW w:w="9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7.4</w:t>
            </w:r>
          </w:p>
        </w:tc>
        <w:tc>
          <w:tcPr>
            <w:tcW w:w="10687" w:type="dxa"/>
          </w:tcPr>
          <w:p>
            <w:pPr>
              <w:numPr>
                <w:ilvl w:val="0"/>
                <w:numId w:val="0"/>
              </w:numPr>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本部门</w:t>
            </w:r>
            <w:r>
              <w:rPr>
                <w:rFonts w:hint="eastAsia" w:ascii="宋体" w:hAnsi="宋体" w:eastAsia="宋体" w:cs="宋体"/>
                <w:sz w:val="24"/>
                <w:szCs w:val="24"/>
              </w:rPr>
              <w:t>负责能源信息的传递</w:t>
            </w:r>
            <w:r>
              <w:rPr>
                <w:rFonts w:hint="eastAsia" w:ascii="宋体" w:hAnsi="宋体" w:eastAsia="宋体" w:cs="宋体"/>
                <w:sz w:val="24"/>
                <w:szCs w:val="24"/>
                <w:lang w:val="en-US" w:eastAsia="zh-CN"/>
              </w:rPr>
              <w:t>及</w:t>
            </w:r>
            <w:r>
              <w:rPr>
                <w:rFonts w:hint="eastAsia" w:ascii="宋体" w:hAnsi="宋体" w:eastAsia="宋体" w:cs="宋体"/>
                <w:sz w:val="24"/>
                <w:szCs w:val="24"/>
              </w:rPr>
              <w:t>交流；</w:t>
            </w:r>
            <w:r>
              <w:rPr>
                <w:rFonts w:hint="eastAsia" w:ascii="宋体" w:hAnsi="宋体" w:eastAsia="宋体" w:cs="宋体"/>
                <w:sz w:val="24"/>
                <w:szCs w:val="24"/>
                <w:lang w:val="en-US" w:eastAsia="zh-CN"/>
              </w:rPr>
              <w:t>通过</w:t>
            </w:r>
            <w:r>
              <w:rPr>
                <w:rFonts w:hint="eastAsia" w:ascii="宋体" w:hAnsi="宋体" w:eastAsia="宋体" w:cs="宋体"/>
                <w:sz w:val="24"/>
                <w:szCs w:val="24"/>
              </w:rPr>
              <w:t>建立实施和保持适当的信息交流沟通</w:t>
            </w:r>
            <w:r>
              <w:rPr>
                <w:rFonts w:hint="eastAsia" w:ascii="宋体" w:hAnsi="宋体" w:eastAsia="宋体" w:cs="宋体"/>
                <w:sz w:val="24"/>
                <w:szCs w:val="24"/>
                <w:lang w:eastAsia="zh-CN"/>
              </w:rPr>
              <w:t>、</w:t>
            </w:r>
            <w:r>
              <w:rPr>
                <w:rFonts w:hint="eastAsia" w:ascii="宋体" w:hAnsi="宋体" w:eastAsia="宋体" w:cs="宋体"/>
                <w:sz w:val="24"/>
                <w:szCs w:val="24"/>
              </w:rPr>
              <w:t>确保</w:t>
            </w:r>
            <w:r>
              <w:rPr>
                <w:rFonts w:hint="eastAsia" w:ascii="宋体" w:hAnsi="宋体" w:eastAsia="宋体" w:cs="宋体"/>
                <w:sz w:val="24"/>
                <w:szCs w:val="24"/>
                <w:lang w:val="en-US" w:eastAsia="zh-CN"/>
              </w:rPr>
              <w:t>了</w:t>
            </w:r>
            <w:r>
              <w:rPr>
                <w:rFonts w:hint="eastAsia" w:ascii="宋体" w:hAnsi="宋体" w:eastAsia="宋体" w:cs="宋体"/>
                <w:sz w:val="24"/>
                <w:szCs w:val="24"/>
              </w:rPr>
              <w:t>公司内部以及与外部相关方的联系和回应</w:t>
            </w:r>
            <w:r>
              <w:rPr>
                <w:rFonts w:hint="eastAsia" w:ascii="宋体" w:hAnsi="宋体" w:eastAsia="宋体" w:cs="宋体"/>
                <w:sz w:val="24"/>
                <w:szCs w:val="24"/>
                <w:lang w:eastAsia="zh-CN"/>
              </w:rPr>
              <w:t>、</w:t>
            </w:r>
            <w:r>
              <w:rPr>
                <w:rFonts w:hint="eastAsia" w:ascii="宋体" w:hAnsi="宋体" w:eastAsia="宋体" w:cs="宋体"/>
                <w:sz w:val="24"/>
                <w:szCs w:val="24"/>
              </w:rPr>
              <w:t>保证能源管理体系的有效运行</w:t>
            </w:r>
            <w:r>
              <w:rPr>
                <w:rFonts w:hint="eastAsia" w:ascii="宋体" w:hAnsi="宋体" w:cs="宋体"/>
                <w:sz w:val="24"/>
                <w:szCs w:val="24"/>
                <w:lang w:eastAsia="zh-CN"/>
              </w:rPr>
              <w:t>、</w:t>
            </w:r>
            <w:r>
              <w:rPr>
                <w:rFonts w:hint="eastAsia" w:ascii="宋体" w:hAnsi="宋体" w:eastAsia="宋体" w:cs="宋体"/>
                <w:sz w:val="24"/>
                <w:szCs w:val="24"/>
                <w:lang w:val="en-US" w:eastAsia="zh-CN"/>
              </w:rPr>
              <w:t>其中：</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内部信息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法律法规、标准及其他要求、目标、指标及管理方案的实施、能源基准及能源绩效参数、体系运行的监测结果、内审和管理评审的结果，由运行保障中心传达到各部门；</w:t>
            </w:r>
            <w:r>
              <w:rPr>
                <w:rFonts w:hint="eastAsia" w:ascii="宋体" w:hAnsi="宋体" w:eastAsia="宋体" w:cs="宋体"/>
                <w:sz w:val="24"/>
                <w:szCs w:val="24"/>
                <w:lang w:val="en-US" w:eastAsia="zh-CN"/>
              </w:rPr>
              <w:t xml:space="preserve"> </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另内部能源体系宣传教育包括：节能形势政策；节约能源带来的社会和经济效益；交流节能技术；节能知识竞赛；组建节能小组；征集合理化建议；评选节能先进；</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外部信息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从相关方收集</w:t>
            </w:r>
            <w:r>
              <w:rPr>
                <w:rFonts w:hint="eastAsia" w:ascii="宋体" w:hAnsi="宋体" w:eastAsia="宋体" w:cs="宋体"/>
                <w:sz w:val="24"/>
                <w:szCs w:val="24"/>
                <w:lang w:val="en-US" w:eastAsia="zh-CN"/>
              </w:rPr>
              <w:t>、接收的能源供应信息及时传递给相关方；上级部门或相关方需要公司能源信息</w:t>
            </w:r>
            <w:r>
              <w:rPr>
                <w:rFonts w:hint="eastAsia" w:ascii="宋体" w:hAnsi="宋体" w:cs="宋体"/>
                <w:sz w:val="24"/>
                <w:szCs w:val="24"/>
                <w:lang w:val="en-US" w:eastAsia="zh-CN"/>
              </w:rPr>
              <w:t>；</w:t>
            </w:r>
          </w:p>
          <w:p>
            <w:pPr>
              <w:numPr>
                <w:ilvl w:val="0"/>
                <w:numId w:val="0"/>
              </w:numPr>
              <w:ind w:leftChars="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方式：</w:t>
            </w:r>
          </w:p>
          <w:p>
            <w:pPr>
              <w:rPr>
                <w:rFonts w:hint="eastAsia" w:ascii="宋体" w:hAnsi="宋体" w:eastAsia="宋体" w:cs="宋体"/>
                <w:sz w:val="24"/>
                <w:szCs w:val="24"/>
              </w:rPr>
            </w:pPr>
            <w:r>
              <w:rPr>
                <w:rFonts w:hint="eastAsia" w:ascii="宋体" w:hAnsi="宋体" w:eastAsia="宋体" w:cs="宋体"/>
                <w:sz w:val="24"/>
                <w:szCs w:val="24"/>
                <w:lang w:val="en-US" w:eastAsia="zh-CN"/>
              </w:rPr>
              <w:t>会议、公告栏、简报、意见箱、微信群等；</w:t>
            </w:r>
          </w:p>
        </w:tc>
        <w:tc>
          <w:tcPr>
            <w:tcW w:w="902" w:type="dxa"/>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文件化信息</w:t>
            </w:r>
          </w:p>
        </w:tc>
        <w:tc>
          <w:tcPr>
            <w:tcW w:w="9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 xml:space="preserve">7.5 </w:t>
            </w:r>
          </w:p>
        </w:tc>
        <w:tc>
          <w:tcPr>
            <w:tcW w:w="10687" w:type="dxa"/>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公司对管理体系文件控制进行了策划，形成了文件化的管理手册、程序文件、三层次管理文件以及所要求的记录。</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公司编制的程序文件符合标准要求的所有程序文件，第三层次文件对体系及其相互关系在手册中做了描述，记录表单满足公司目前的管理体系运行的需要。</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公司文件分类：一级文件：管理手册。</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二级文件：公司编制了程序文件，包括</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标准要求的所有程序。</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三层次文件：制度和作业指导书，外来文件：包括产品国家标准，</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及运行记录，满足</w:t>
            </w:r>
            <w:r>
              <w:rPr>
                <w:rFonts w:hint="eastAsia" w:ascii="宋体" w:hAnsi="宋体" w:cs="宋体"/>
                <w:color w:val="auto"/>
                <w:sz w:val="24"/>
                <w:szCs w:val="24"/>
                <w:lang w:val="en-US" w:eastAsia="zh-CN"/>
              </w:rPr>
              <w:t>要求；</w:t>
            </w:r>
          </w:p>
          <w:p>
            <w:pPr>
              <w:pStyle w:val="2"/>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经检查，公司能源管理体系文件没有变化；</w:t>
            </w:r>
          </w:p>
          <w:p>
            <w:pPr>
              <w:pStyle w:val="2"/>
              <w:ind w:left="0" w:leftChars="0" w:firstLine="0" w:firstLineChars="0"/>
              <w:rPr>
                <w:rFonts w:hint="default" w:ascii="宋体" w:hAnsi="宋体" w:cs="宋体"/>
                <w:color w:val="auto"/>
                <w:sz w:val="24"/>
                <w:szCs w:val="24"/>
                <w:lang w:val="en-US" w:eastAsia="zh-CN"/>
              </w:rPr>
            </w:pP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公司提供《记录清单》包括有内审报告、供方评价表、管理评审报告等记录。明确了记录名称、编号、使用保存部门、保存期限等，并经审核后使用。</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公司各种记录由各使用部门保存，查阅管理部保存的记录环境情况，归档文件、记录存放于文件柜内，环境干燥、通风，符合文件归档的要求。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抽查归档文件整理情况，管理部已将文件进行了分类，按记录的名称、编号及时间装文件袋进行归档，记录清洁，字迹清晰，检索方便，抽查有内部审核资料、管理评审资料等，均已装订成册。</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提供了作废文件记录：有作废理由、作废日期及申请部门、审核人签字，目前无作废文件记录。</w:t>
            </w:r>
          </w:p>
          <w:p>
            <w:pPr>
              <w:rPr>
                <w:rFonts w:hint="eastAsia" w:ascii="宋体" w:hAnsi="宋体" w:eastAsia="宋体" w:cs="宋体"/>
                <w:sz w:val="24"/>
                <w:szCs w:val="24"/>
              </w:rPr>
            </w:pPr>
            <w:r>
              <w:rPr>
                <w:rFonts w:hint="eastAsia" w:ascii="宋体" w:hAnsi="宋体" w:eastAsia="宋体" w:cs="宋体"/>
                <w:color w:val="auto"/>
                <w:sz w:val="24"/>
                <w:szCs w:val="24"/>
                <w:lang w:val="en-US" w:eastAsia="zh-CN"/>
              </w:rPr>
              <w:t>文件记录控制基本有效。</w:t>
            </w:r>
          </w:p>
        </w:tc>
        <w:tc>
          <w:tcPr>
            <w:tcW w:w="902" w:type="dxa"/>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能源绩效和EnMS的监视、测量、分析和评价</w:t>
            </w:r>
          </w:p>
          <w:p>
            <w:pPr>
              <w:numPr>
                <w:ilvl w:val="0"/>
                <w:numId w:val="0"/>
              </w:numPr>
              <w:rPr>
                <w:rFonts w:hint="eastAsia" w:ascii="宋体" w:hAnsi="宋体" w:eastAsia="宋体" w:cs="宋体"/>
                <w:sz w:val="24"/>
                <w:szCs w:val="24"/>
                <w:lang w:val="en-US" w:eastAsia="zh-CN"/>
              </w:rPr>
            </w:pPr>
          </w:p>
        </w:tc>
        <w:tc>
          <w:tcPr>
            <w:tcW w:w="960" w:type="dxa"/>
            <w:vAlign w:val="top"/>
          </w:tcPr>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9.1.1</w:t>
            </w:r>
          </w:p>
        </w:tc>
        <w:tc>
          <w:tcPr>
            <w:tcW w:w="10687" w:type="dxa"/>
          </w:tcPr>
          <w:p>
            <w:pPr>
              <w:numPr>
                <w:ilvl w:val="0"/>
                <w:numId w:val="0"/>
              </w:numPr>
              <w:rPr>
                <w:rFonts w:hint="default" w:ascii="宋体" w:hAnsi="宋体" w:eastAsia="宋体" w:cs="宋体"/>
                <w:sz w:val="24"/>
                <w:szCs w:val="24"/>
                <w:lang w:val="en-US" w:eastAsia="zh-CN"/>
              </w:rPr>
            </w:pPr>
            <w:r>
              <w:rPr>
                <w:rFonts w:hint="eastAsia" w:ascii="宋体" w:hAnsi="宋体" w:cs="宋体"/>
                <w:sz w:val="24"/>
                <w:szCs w:val="24"/>
                <w:lang w:val="en-US" w:eastAsia="zh-CN"/>
              </w:rPr>
              <w:t>查《监视测量程序》规定的监测项目包括：</w:t>
            </w:r>
            <w:r>
              <w:rPr>
                <w:rFonts w:hint="eastAsia" w:ascii="宋体" w:hAnsi="宋体" w:eastAsia="宋体" w:cs="宋体"/>
                <w:sz w:val="24"/>
                <w:szCs w:val="24"/>
                <w:lang w:val="en-US" w:eastAsia="zh-CN"/>
              </w:rPr>
              <w:t>行动方案在实现目标和能源指标方面的有效性；能源绩效参数EnPI（S）；主要能源使用（SEUs）的运行；实际能耗与预期能耗的对比评价；</w:t>
            </w:r>
            <w:r>
              <w:rPr>
                <w:rFonts w:hint="eastAsia" w:ascii="宋体" w:hAnsi="宋体" w:cs="宋体"/>
                <w:sz w:val="24"/>
                <w:szCs w:val="24"/>
                <w:lang w:val="en-US" w:eastAsia="zh-CN"/>
              </w:rPr>
              <w:t>确定了</w:t>
            </w:r>
            <w:r>
              <w:rPr>
                <w:rFonts w:hint="eastAsia" w:ascii="宋体" w:hAnsi="宋体" w:eastAsia="宋体" w:cs="宋体"/>
                <w:sz w:val="24"/>
                <w:szCs w:val="24"/>
                <w:lang w:val="en-US" w:eastAsia="zh-CN"/>
              </w:rPr>
              <w:t>适用时的监视、测量、分析和评价方法</w:t>
            </w:r>
            <w:r>
              <w:rPr>
                <w:rFonts w:hint="eastAsia" w:ascii="宋体" w:hAnsi="宋体" w:cs="宋体"/>
                <w:sz w:val="24"/>
                <w:szCs w:val="24"/>
                <w:lang w:val="en-US" w:eastAsia="zh-CN"/>
              </w:rPr>
              <w:t>——详见《初始能源评审报告》</w:t>
            </w:r>
          </w:p>
          <w:p>
            <w:pPr>
              <w:numPr>
                <w:ilvl w:val="0"/>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组织</w:t>
            </w:r>
            <w:r>
              <w:rPr>
                <w:rFonts w:hint="eastAsia" w:ascii="宋体" w:hAnsi="宋体" w:eastAsia="宋体" w:cs="宋体"/>
                <w:sz w:val="24"/>
                <w:szCs w:val="24"/>
                <w:lang w:val="en-US" w:eastAsia="zh-CN"/>
              </w:rPr>
              <w:t>通过比较能源绩效参数值（EnPI值）和相应的能源基准评价能源绩效的改进</w:t>
            </w:r>
            <w:r>
              <w:rPr>
                <w:rFonts w:hint="eastAsia" w:ascii="宋体" w:hAnsi="宋体" w:cs="宋体"/>
                <w:sz w:val="24"/>
                <w:szCs w:val="24"/>
                <w:lang w:val="en-US" w:eastAsia="zh-CN"/>
              </w:rPr>
              <w:t>（能源评审报告）</w:t>
            </w:r>
            <w:r>
              <w:rPr>
                <w:rFonts w:hint="eastAsia" w:ascii="宋体" w:hAnsi="宋体" w:eastAsia="宋体" w:cs="宋体"/>
                <w:sz w:val="24"/>
                <w:szCs w:val="24"/>
                <w:lang w:val="en-US" w:eastAsia="zh-CN"/>
              </w:rPr>
              <w:t>。</w:t>
            </w:r>
          </w:p>
          <w:p>
            <w:pPr>
              <w:rPr>
                <w:rFonts w:hint="default" w:ascii="宋体" w:hAnsi="宋体" w:eastAsia="宋体" w:cs="宋体"/>
                <w:sz w:val="24"/>
                <w:szCs w:val="24"/>
                <w:lang w:val="en-US"/>
              </w:rPr>
            </w:pPr>
            <w:r>
              <w:rPr>
                <w:rFonts w:hint="eastAsia" w:ascii="宋体" w:hAnsi="宋体" w:cs="宋体"/>
                <w:sz w:val="24"/>
                <w:szCs w:val="24"/>
                <w:lang w:val="en-US" w:eastAsia="zh-CN"/>
              </w:rPr>
              <w:t>本部门会同生产部对</w:t>
            </w:r>
            <w:r>
              <w:rPr>
                <w:rFonts w:hint="eastAsia" w:ascii="宋体" w:hAnsi="宋体" w:eastAsia="宋体" w:cs="宋体"/>
                <w:sz w:val="24"/>
                <w:szCs w:val="24"/>
                <w:lang w:val="en-US" w:eastAsia="zh-CN"/>
              </w:rPr>
              <w:t>能源绩效中的重大偏差</w:t>
            </w:r>
            <w:r>
              <w:rPr>
                <w:rFonts w:hint="eastAsia" w:ascii="宋体" w:hAnsi="宋体" w:cs="宋体"/>
                <w:sz w:val="24"/>
                <w:szCs w:val="24"/>
                <w:lang w:val="en-US" w:eastAsia="zh-CN"/>
              </w:rPr>
              <w:t>进行</w:t>
            </w:r>
            <w:r>
              <w:rPr>
                <w:rFonts w:hint="eastAsia" w:ascii="宋体" w:hAnsi="宋体" w:eastAsia="宋体" w:cs="宋体"/>
                <w:sz w:val="24"/>
                <w:szCs w:val="24"/>
                <w:lang w:val="en-US" w:eastAsia="zh-CN"/>
              </w:rPr>
              <w:t>调查并采取应对措施</w:t>
            </w:r>
            <w:r>
              <w:rPr>
                <w:rFonts w:hint="eastAsia" w:ascii="宋体" w:hAnsi="宋体" w:cs="宋体"/>
                <w:sz w:val="24"/>
                <w:szCs w:val="24"/>
                <w:lang w:val="en-US" w:eastAsia="zh-CN"/>
              </w:rPr>
              <w:t>；现场查监视测量记录清晰准确、符合规定；</w:t>
            </w:r>
          </w:p>
        </w:tc>
        <w:tc>
          <w:tcPr>
            <w:tcW w:w="902" w:type="dxa"/>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rPr>
                <w:rFonts w:hint="default" w:ascii="宋体" w:hAnsi="宋体" w:eastAsia="宋体" w:cs="宋体"/>
                <w:sz w:val="24"/>
                <w:szCs w:val="24"/>
                <w:lang w:val="en-US" w:eastAsia="zh-CN"/>
              </w:rPr>
            </w:pPr>
            <w:r>
              <w:rPr>
                <w:rFonts w:hint="eastAsia" w:ascii="宋体" w:hAnsi="宋体" w:cs="宋体"/>
                <w:sz w:val="24"/>
                <w:szCs w:val="24"/>
                <w:lang w:val="en-US" w:eastAsia="zh-CN"/>
              </w:rPr>
              <w:t>合规性评价</w:t>
            </w:r>
          </w:p>
        </w:tc>
        <w:tc>
          <w:tcPr>
            <w:tcW w:w="960" w:type="dxa"/>
            <w:vAlign w:val="top"/>
          </w:tcPr>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w:t>
            </w:r>
            <w:r>
              <w:rPr>
                <w:rFonts w:hint="eastAsia" w:ascii="宋体" w:hAnsi="宋体" w:cs="宋体"/>
                <w:sz w:val="24"/>
                <w:szCs w:val="24"/>
                <w:lang w:val="en-US" w:eastAsia="zh-CN"/>
              </w:rPr>
              <w:t>2</w:t>
            </w:r>
          </w:p>
        </w:tc>
        <w:tc>
          <w:tcPr>
            <w:tcW w:w="10687" w:type="dxa"/>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组织在“初始能源评审” 中还编入了《合规性评价报告》查其中内容包含：“法律法规标准和其他要求的获取、法律法规和其他要求的遵守（符合国家农药产业发展政策、公司班组车间成立管理机构及岗位培训、严格执行国家用能设备能效标准及产品能耗限额标准、淘汰落后和国家明令禁止只用产品设备和生产工艺、执行国家行业及地方能耗限额标准主要用能设备的能效系数对标的符合、目标责任制的建立等）”；</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评价结论“公司能源管理基本符合相关法律法规和其他要求”；</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——查内容基本真实、符合识别的法律法规和其他要求的内容；报告有编审批“朱俊”、日期“2021.11.10”；</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color w:val="0000FF"/>
                <w:sz w:val="24"/>
                <w:szCs w:val="24"/>
                <w:lang w:val="en-US" w:eastAsia="zh-CN"/>
              </w:rPr>
              <w:t>经检查，未将“湖北省实施《中华人民共和国节约能源法》办法”列入到“适用法</w:t>
            </w:r>
            <w:bookmarkStart w:id="0" w:name="_GoBack"/>
            <w:bookmarkEnd w:id="0"/>
            <w:r>
              <w:rPr>
                <w:rFonts w:hint="eastAsia" w:ascii="宋体" w:hAnsi="宋体" w:eastAsia="宋体" w:cs="宋体"/>
                <w:color w:val="0000FF"/>
                <w:sz w:val="24"/>
                <w:szCs w:val="24"/>
                <w:lang w:val="en-US" w:eastAsia="zh-CN"/>
              </w:rPr>
              <w:t>律法规及其他要求清单”中。</w:t>
            </w:r>
          </w:p>
        </w:tc>
        <w:tc>
          <w:tcPr>
            <w:tcW w:w="902" w:type="dxa"/>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eastAsia="宋体" w:cs="宋体"/>
                <w:color w:val="0000FF"/>
                <w:kern w:val="2"/>
                <w:sz w:val="24"/>
                <w:szCs w:val="24"/>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内部审核</w:t>
            </w:r>
          </w:p>
        </w:tc>
        <w:tc>
          <w:tcPr>
            <w:tcW w:w="960"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9.2 </w:t>
            </w:r>
          </w:p>
        </w:tc>
        <w:tc>
          <w:tcPr>
            <w:tcW w:w="10687" w:type="dxa"/>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年内部审核计划》查“审核目的”、“审核依据”——基本符合标准要求、审核安排时间202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年11月</w:t>
            </w:r>
            <w:r>
              <w:rPr>
                <w:rFonts w:hint="eastAsia" w:ascii="宋体" w:hAnsi="宋体" w:cs="宋体"/>
                <w:sz w:val="24"/>
                <w:szCs w:val="24"/>
                <w:lang w:val="en-US" w:eastAsia="zh-CN"/>
              </w:rPr>
              <w:t>26</w:t>
            </w:r>
            <w:r>
              <w:rPr>
                <w:rFonts w:hint="eastAsia" w:ascii="宋体" w:hAnsi="宋体" w:eastAsia="宋体" w:cs="宋体"/>
                <w:sz w:val="24"/>
                <w:szCs w:val="24"/>
                <w:lang w:val="en-US" w:eastAsia="zh-CN"/>
              </w:rPr>
              <w:t xml:space="preserve">日；有“审核日程安排表”具体到日期下的审核部门和审核员等内容；未见审核员自己审核本部门的情况；计划有编审批；组长林智峰、组员杨金平尉晓光；计划覆盖全部部门和产品活动、计划批准田敏锋；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"mailto:提供《首、末次会议签到表》有包括总经理等9人签字信息；日期2017.8.1.@2017.8.3.；"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提供《首、末次会议签到表》有包括吴传友李德金詹斌陈贵平刘雨晨曹静等6人签字信息；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提供《检查单》6份、抽查1条、管理层、审核条款“4.1/4.2/4.3/4.4/5.1/5.2/7.1/9.3</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/10.2”等——查基本符合策划的安排、条款检查内容基本符合标准要求、未见明显不符合情况；审核员吴传友、迎审陈龙；</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本次内审无不符合项；</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和提供了《内部审核报告》包含了本次审核的“目的、范围、准则和概述”——查评价基本覆盖体系范围内相关内容、包括能源方针目标指标的实现情况、能源基准绩效参数的确定、高耗能设备安全经济运行准则的执行、生产计划的安排关注季节性对能源消耗的影响对1项不符合提出了整改意见和纠正措施和预防措施的要求、法律法规和其他要求的执行情况等；提出的问题与改进措施“标准和工作内容结合不够、经济运行控制仍不到位”；审核结论：公司能源管理体系基本符合ISO50001标准要求，能源方针目标基本适宜、体系运行基本符合要求；编制批准</w:t>
            </w:r>
            <w:r>
              <w:rPr>
                <w:rFonts w:hint="eastAsia" w:ascii="宋体" w:hAnsi="宋体" w:cs="宋体"/>
                <w:sz w:val="24"/>
                <w:szCs w:val="24"/>
                <w:lang w:val="en-US" w:eastAsia="zh-CN"/>
              </w:rPr>
              <w:t>陈龙</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.11.2</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p>
        </w:tc>
        <w:tc>
          <w:tcPr>
            <w:tcW w:w="902" w:type="dxa"/>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r>
              <w:rPr>
                <w:rFonts w:hint="eastAsia" w:ascii="宋体" w:hAnsi="宋体" w:eastAsia="宋体" w:cs="宋体"/>
                <w:sz w:val="24"/>
                <w:szCs w:val="24"/>
              </w:rPr>
              <w:t>不符合和纠正措施</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10.1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p>
        </w:tc>
        <w:tc>
          <w:tcPr>
            <w:tcW w:w="106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cs="宋体"/>
                <w:color w:val="auto"/>
                <w:sz w:val="24"/>
                <w:szCs w:val="24"/>
                <w:lang w:val="en-US" w:eastAsia="zh-CN"/>
              </w:rPr>
            </w:pPr>
            <w:r>
              <w:rPr>
                <w:rFonts w:hint="eastAsia" w:ascii="宋体" w:hAnsi="宋体" w:eastAsia="宋体" w:cs="宋体"/>
                <w:sz w:val="24"/>
                <w:szCs w:val="24"/>
                <w:lang w:val="en-US" w:eastAsia="zh-CN"/>
              </w:rPr>
              <w:t>编</w:t>
            </w:r>
            <w:r>
              <w:rPr>
                <w:rFonts w:hint="eastAsia" w:ascii="宋体" w:hAnsi="宋体" w:eastAsia="宋体" w:cs="宋体"/>
                <w:color w:val="auto"/>
                <w:sz w:val="24"/>
                <w:szCs w:val="24"/>
                <w:lang w:val="en-US" w:eastAsia="zh-CN"/>
              </w:rPr>
              <w:t>制了《</w:t>
            </w:r>
            <w:r>
              <w:rPr>
                <w:rFonts w:hint="eastAsia" w:ascii="宋体" w:hAnsi="宋体" w:eastAsia="宋体" w:cs="宋体"/>
                <w:sz w:val="24"/>
                <w:szCs w:val="24"/>
              </w:rPr>
              <w:t>不符合和纠正措施</w:t>
            </w:r>
            <w:r>
              <w:rPr>
                <w:rFonts w:hint="eastAsia" w:ascii="宋体" w:hAnsi="宋体" w:cs="宋体"/>
                <w:sz w:val="24"/>
                <w:szCs w:val="24"/>
                <w:lang w:val="en-US" w:eastAsia="zh-CN"/>
              </w:rPr>
              <w:t>报告</w:t>
            </w:r>
            <w:r>
              <w:rPr>
                <w:rFonts w:hint="eastAsia" w:ascii="宋体" w:hAnsi="宋体" w:eastAsia="宋体" w:cs="宋体"/>
                <w:color w:val="auto"/>
                <w:sz w:val="24"/>
                <w:szCs w:val="24"/>
                <w:lang w:val="en-US" w:eastAsia="zh-CN"/>
              </w:rPr>
              <w:t>》包括“不符合采取措施控制并纠正；任何纠正措施的结果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不符合的原因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性质和采取的任何后续措施；确定是否存在或是否可能发生类似的不符合；实施任何所需的措施；评审所采取的任何纠正措施的有效性；必要时，对能源管理体系进行变更改”</w:t>
            </w:r>
            <w:r>
              <w:rPr>
                <w:rFonts w:hint="eastAsia" w:ascii="宋体" w:hAnsi="宋体" w:cs="宋体"/>
                <w:color w:val="auto"/>
                <w:sz w:val="24"/>
                <w:szCs w:val="24"/>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cs="宋体"/>
                <w:color w:val="auto"/>
                <w:sz w:val="24"/>
                <w:szCs w:val="24"/>
                <w:lang w:val="en-US" w:eastAsia="zh-CN"/>
              </w:rPr>
              <w:t>本次</w:t>
            </w:r>
            <w:r>
              <w:rPr>
                <w:rFonts w:hint="eastAsia" w:ascii="宋体" w:hAnsi="宋体" w:eastAsia="宋体" w:cs="宋体"/>
                <w:color w:val="auto"/>
                <w:sz w:val="24"/>
                <w:szCs w:val="24"/>
                <w:lang w:val="en-US" w:eastAsia="zh-CN"/>
              </w:rPr>
              <w:t>内审</w:t>
            </w:r>
            <w:r>
              <w:rPr>
                <w:rFonts w:hint="eastAsia" w:ascii="宋体" w:hAnsi="宋体" w:cs="宋体"/>
                <w:color w:val="auto"/>
                <w:sz w:val="24"/>
                <w:szCs w:val="24"/>
                <w:lang w:val="en-US" w:eastAsia="zh-CN"/>
              </w:rPr>
              <w:t>无</w:t>
            </w:r>
            <w:r>
              <w:rPr>
                <w:rFonts w:hint="eastAsia" w:ascii="宋体" w:hAnsi="宋体" w:eastAsia="宋体" w:cs="宋体"/>
                <w:color w:val="auto"/>
                <w:sz w:val="24"/>
                <w:szCs w:val="24"/>
                <w:lang w:val="en-US" w:eastAsia="zh-CN"/>
              </w:rPr>
              <w:t>不符合项</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w:t>
            </w:r>
          </w:p>
        </w:tc>
        <w:tc>
          <w:tcPr>
            <w:tcW w:w="902" w:type="dxa"/>
            <w:vAlign w:val="top"/>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r>
              <w:rPr>
                <w:rFonts w:hint="eastAsia" w:ascii="宋体" w:hAnsi="宋体" w:eastAsia="宋体" w:cs="宋体"/>
                <w:color w:val="auto"/>
                <w:sz w:val="24"/>
                <w:szCs w:val="24"/>
                <w:lang w:val="en-US" w:eastAsia="zh-CN"/>
              </w:rPr>
              <w:t>持续改进</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p>
        </w:tc>
        <w:tc>
          <w:tcPr>
            <w:tcW w:w="106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通过对管理评审的审核、确定了组织的质量管理体系的适宜性、充分性和有效性——基本满足标准的要求，组织的持续改进绩效明显</w:t>
            </w:r>
            <w:r>
              <w:rPr>
                <w:rFonts w:hint="eastAsia" w:ascii="宋体" w:hAnsi="宋体" w:cs="宋体"/>
                <w:b w:val="0"/>
                <w:bCs w:val="0"/>
                <w:color w:val="auto"/>
                <w:sz w:val="24"/>
                <w:szCs w:val="24"/>
                <w:lang w:val="en-US" w:eastAsia="zh-CN"/>
              </w:rPr>
              <w:t>；</w:t>
            </w:r>
          </w:p>
        </w:tc>
        <w:tc>
          <w:tcPr>
            <w:tcW w:w="902" w:type="dxa"/>
            <w:vAlign w:val="top"/>
          </w:tcPr>
          <w:p>
            <w:pPr>
              <w:rPr>
                <w:rFonts w:hint="eastAsia"/>
              </w:rPr>
            </w:pPr>
          </w:p>
          <w:p>
            <w:pPr>
              <w:pStyle w:val="2"/>
              <w:rPr>
                <w:rFonts w:hint="eastAsia" w:eastAsia="宋体"/>
                <w:lang w:val="en-US" w:eastAsia="zh-CN"/>
              </w:rPr>
            </w:pPr>
            <w:r>
              <w:rPr>
                <w:rFonts w:hint="eastAsia" w:ascii="宋体" w:hAnsi="宋体" w:cs="宋体"/>
                <w:sz w:val="24"/>
                <w:szCs w:val="24"/>
                <w:lang w:val="en-US" w:eastAsia="zh-CN"/>
              </w:rPr>
              <w:t>y</w:t>
            </w:r>
          </w:p>
        </w:tc>
      </w:tr>
    </w:tbl>
    <w:p>
      <w:pPr>
        <w:pStyle w:val="7"/>
        <w:rPr>
          <w:sz w:val="21"/>
          <w:szCs w:val="21"/>
        </w:rPr>
      </w:pPr>
    </w:p>
    <w:p>
      <w:pPr>
        <w:pStyle w:val="7"/>
        <w:rPr>
          <w:sz w:val="21"/>
          <w:szCs w:val="21"/>
        </w:rPr>
      </w:pPr>
    </w:p>
    <w:p>
      <w:pPr>
        <w:pStyle w:val="7"/>
        <w:rPr>
          <w:sz w:val="21"/>
          <w:szCs w:val="21"/>
        </w:rPr>
      </w:pPr>
    </w:p>
    <w:p>
      <w:pPr>
        <w:pStyle w:val="7"/>
        <w:rPr>
          <w:sz w:val="21"/>
          <w:szCs w:val="21"/>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4"/>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过程与活动、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抽样计划</w:t>
            </w:r>
          </w:p>
        </w:tc>
        <w:tc>
          <w:tcPr>
            <w:tcW w:w="9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涉及</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条款</w:t>
            </w:r>
          </w:p>
        </w:tc>
        <w:tc>
          <w:tcPr>
            <w:tcW w:w="10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受审核部门：研发部    主管领导：李宁            陪同人员：吴传友</w:t>
            </w:r>
          </w:p>
        </w:tc>
        <w:tc>
          <w:tcPr>
            <w:tcW w:w="76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tc>
        <w:tc>
          <w:tcPr>
            <w:tcW w:w="9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tc>
        <w:tc>
          <w:tcPr>
            <w:tcW w:w="10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审核员：周涛、潘荣君      审核时间：2022.3.7</w:t>
            </w:r>
          </w:p>
        </w:tc>
        <w:tc>
          <w:tcPr>
            <w:tcW w:w="76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tc>
        <w:tc>
          <w:tcPr>
            <w:tcW w:w="9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tc>
        <w:tc>
          <w:tcPr>
            <w:tcW w:w="10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审核条款：5.3 组织的岗位、职责和权限、6.2 目标、能源指及其实现的策划、8.2设计、10.1 不符合与纠正措施</w:t>
            </w:r>
          </w:p>
        </w:tc>
        <w:tc>
          <w:tcPr>
            <w:tcW w:w="76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5.3 </w:t>
            </w:r>
          </w:p>
        </w:tc>
        <w:tc>
          <w:tcPr>
            <w:tcW w:w="10824"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负责人：李宁</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技术研发部职责：</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1、负责节能新技术和方法、新能源和可再生能源技术的推广和应用；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240" w:firstLineChars="1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目标、能源指及其实现的策划、</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tc>
        <w:tc>
          <w:tcPr>
            <w:tcW w:w="10824"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研发部没有分解能耗目标，执行公司的总目标；</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10824"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制定并执行《设计控制程序》，考虑能源性能改进机会和在设计新的、改进的和翻新的设施、设备、系统和能源使用过程时的操作控制，这些过程在计划或预期的使用寿命内可能对其能源性能产生重大影响。</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在适用的情况下，能源性能考虑的结果应纳入规范、设计和采购活动。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设计研发项目过程分为：小试——中试——批量生产</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查：项目可行性报告，包括：项目主要内容、目的意义、国内外发展趋势、项目可行性论证、拟解决的关键技术问题及前期工作基础、风险评估（技术风险、知识产权风险、市场风险、其他风险）与规避措施、项目实施计划、方案、人员组成、工作进度、预期成果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提供：项目阶段评审表，评审项目中包括了符合HSE要求，符合相关法律法规，建议增加节能的要求，已与企业进行沟通。</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抽查：项目小试阶段总结包括：基本配方的设计和确定、工艺的确定、小试产品测试和客户使用情况等内容。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经检查202</w:t>
            </w:r>
            <w:r>
              <w:rPr>
                <w:rFonts w:hint="eastAsia" w:ascii="宋体" w:hAnsi="宋体" w:cs="宋体"/>
                <w:sz w:val="24"/>
                <w:szCs w:val="24"/>
                <w:lang w:val="en-US" w:eastAsia="zh-CN"/>
              </w:rPr>
              <w:t>1</w:t>
            </w:r>
            <w:r>
              <w:rPr>
                <w:rFonts w:hint="default" w:ascii="宋体" w:hAnsi="宋体" w:eastAsia="宋体" w:cs="宋体"/>
                <w:sz w:val="24"/>
                <w:szCs w:val="24"/>
                <w:lang w:val="en-US" w:eastAsia="zh-CN"/>
              </w:rPr>
              <w:t>年至今没有关于节能方面的设计方案。</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基本符合要求。</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240" w:firstLineChars="1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不符合与纠正措施</w:t>
            </w:r>
          </w:p>
        </w:tc>
        <w:tc>
          <w:tcPr>
            <w:tcW w:w="960"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10.1 </w:t>
            </w:r>
          </w:p>
        </w:tc>
        <w:tc>
          <w:tcPr>
            <w:tcW w:w="10824"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制定并实施《不符合及纠正措施控制程序》，当发现不符合项时，应:</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a)对不符合项作出反应，并在适用时:</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1)采取行动控制和纠正;2)处理后果;</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b)评估采取行动消除不合格原因的必要性，以使不合格事件不再发生或在其他地方发生，方法如下:</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1)评审不合格;2)不合格原因的确定;3〕确定类似不符合存在,或可能发生;</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c)执行所需的任何行动;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d)审查任何纠正措施的有效性;</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e)必要时对EnMS进行更改。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纠正措施应与所遇到的不合格的影响相适应。应保留以下文件资料:</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w:t>
            </w:r>
          </w:p>
        </w:tc>
      </w:tr>
    </w:tbl>
    <w:p>
      <w:pPr>
        <w:pStyle w:val="7"/>
        <w:rPr>
          <w:sz w:val="21"/>
          <w:szCs w:val="21"/>
        </w:rPr>
      </w:pPr>
    </w:p>
    <w:p>
      <w:pPr>
        <w:pStyle w:val="7"/>
        <w:rPr>
          <w:sz w:val="21"/>
          <w:szCs w:val="21"/>
        </w:rPr>
      </w:pPr>
    </w:p>
    <w:p>
      <w:pPr>
        <w:pStyle w:val="7"/>
        <w:rPr>
          <w:sz w:val="21"/>
          <w:szCs w:val="21"/>
        </w:rPr>
      </w:pPr>
    </w:p>
    <w:p>
      <w:pPr>
        <w:pStyle w:val="7"/>
        <w:rPr>
          <w:sz w:val="21"/>
          <w:szCs w:val="21"/>
        </w:rPr>
      </w:pPr>
    </w:p>
    <w:tbl>
      <w:tblPr>
        <w:tblStyle w:val="10"/>
        <w:tblpPr w:leftFromText="180" w:rightFromText="180" w:vertAnchor="text" w:horzAnchor="page" w:tblpX="1073" w:tblpY="230"/>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7"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 xml:space="preserve">财务部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w:t>
            </w:r>
            <w:r>
              <w:rPr>
                <w:rFonts w:hint="eastAsia" w:ascii="宋体" w:hAnsi="宋体" w:eastAsia="宋体" w:cs="宋体"/>
                <w:sz w:val="24"/>
                <w:szCs w:val="24"/>
                <w:lang w:val="en-US" w:eastAsia="zh-CN"/>
              </w:rPr>
              <w:t>领导：吴传友           陪同人员：</w:t>
            </w:r>
            <w:r>
              <w:rPr>
                <w:rFonts w:hint="eastAsia" w:ascii="宋体" w:hAnsi="宋体" w:eastAsia="宋体" w:cs="宋体"/>
                <w:sz w:val="24"/>
                <w:szCs w:val="24"/>
                <w:lang w:eastAsia="zh-CN"/>
              </w:rPr>
              <w:t>李宁</w:t>
            </w:r>
          </w:p>
        </w:tc>
        <w:tc>
          <w:tcPr>
            <w:tcW w:w="72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7"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cs="宋体"/>
                <w:sz w:val="24"/>
                <w:szCs w:val="24"/>
                <w:lang w:val="en-US" w:eastAsia="zh-CN"/>
              </w:rPr>
              <w:t>周涛、周涛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3.7</w:t>
            </w:r>
          </w:p>
        </w:tc>
        <w:tc>
          <w:tcPr>
            <w:tcW w:w="7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vMerge w:val="continue"/>
            <w:vAlign w:val="center"/>
          </w:tcPr>
          <w:p/>
        </w:tc>
        <w:tc>
          <w:tcPr>
            <w:tcW w:w="960" w:type="dxa"/>
            <w:vMerge w:val="continue"/>
            <w:vAlign w:val="center"/>
          </w:tcPr>
          <w:p/>
        </w:tc>
        <w:tc>
          <w:tcPr>
            <w:tcW w:w="10867" w:type="dxa"/>
            <w:vAlign w:val="center"/>
          </w:tcPr>
          <w:p>
            <w:pPr>
              <w:rPr>
                <w:sz w:val="24"/>
                <w:szCs w:val="24"/>
              </w:rPr>
            </w:pPr>
            <w:r>
              <w:rPr>
                <w:rFonts w:hint="eastAsia"/>
                <w:sz w:val="24"/>
                <w:szCs w:val="24"/>
              </w:rPr>
              <w:t>审核条款：</w:t>
            </w:r>
            <w:r>
              <w:rPr>
                <w:rFonts w:hint="eastAsia" w:ascii="宋体" w:hAnsi="宋体" w:eastAsia="宋体" w:cs="宋体"/>
                <w:b w:val="0"/>
                <w:bCs w:val="0"/>
                <w:color w:val="auto"/>
                <w:sz w:val="24"/>
                <w:szCs w:val="24"/>
                <w:u w:val="none"/>
                <w:lang w:val="en-US" w:eastAsia="zh-CN"/>
              </w:rPr>
              <w:t>5.3 组织的岗位、职责和权限、6.2 目标、能源指及其实现的策划、8.1 运行的策划和控制；</w:t>
            </w:r>
          </w:p>
        </w:tc>
        <w:tc>
          <w:tcPr>
            <w:tcW w:w="7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tc>
        <w:tc>
          <w:tcPr>
            <w:tcW w:w="9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5.3 </w:t>
            </w:r>
          </w:p>
          <w:p>
            <w:pPr>
              <w:numPr>
                <w:ilvl w:val="0"/>
                <w:numId w:val="0"/>
              </w:numPr>
              <w:rPr>
                <w:rFonts w:hint="eastAsia" w:ascii="宋体" w:hAnsi="宋体" w:eastAsia="宋体" w:cs="宋体"/>
                <w:color w:val="auto"/>
                <w:sz w:val="24"/>
                <w:szCs w:val="24"/>
                <w:lang w:val="en-US" w:eastAsia="zh-CN"/>
              </w:rPr>
            </w:pPr>
          </w:p>
        </w:tc>
        <w:tc>
          <w:tcPr>
            <w:tcW w:w="10867" w:type="dxa"/>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能源</w:t>
            </w:r>
            <w:r>
              <w:rPr>
                <w:rFonts w:hint="eastAsia" w:ascii="宋体" w:hAnsi="宋体" w:eastAsia="宋体" w:cs="宋体"/>
                <w:color w:val="auto"/>
                <w:sz w:val="24"/>
                <w:szCs w:val="24"/>
                <w:u w:val="single"/>
                <w:lang w:val="en-US" w:eastAsia="zh-CN"/>
              </w:rPr>
              <w:t>岗位人员和岗</w:t>
            </w:r>
            <w:r>
              <w:rPr>
                <w:rFonts w:hint="eastAsia" w:ascii="宋体" w:hAnsi="宋体" w:eastAsia="宋体" w:cs="宋体"/>
                <w:color w:val="auto"/>
                <w:sz w:val="24"/>
                <w:szCs w:val="24"/>
                <w:lang w:val="en-US" w:eastAsia="zh-CN"/>
              </w:rPr>
              <w:t>位设置：</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部门共</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人、其中</w:t>
            </w:r>
            <w:r>
              <w:rPr>
                <w:rFonts w:hint="eastAsia" w:ascii="宋体" w:hAnsi="宋体" w:cs="宋体"/>
                <w:color w:val="auto"/>
                <w:sz w:val="24"/>
                <w:szCs w:val="24"/>
                <w:lang w:val="en-US" w:eastAsia="zh-CN"/>
              </w:rPr>
              <w:t>主管和会计财务若干</w:t>
            </w:r>
            <w:r>
              <w:rPr>
                <w:rFonts w:hint="eastAsia" w:ascii="宋体" w:hAnsi="宋体" w:eastAsia="宋体" w:cs="宋体"/>
                <w:color w:val="auto"/>
                <w:sz w:val="24"/>
                <w:szCs w:val="24"/>
                <w:lang w:val="en-US" w:eastAsia="zh-CN"/>
              </w:rPr>
              <w:t>；</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w:t>
            </w:r>
            <w:r>
              <w:rPr>
                <w:rFonts w:hint="eastAsia" w:ascii="宋体" w:hAnsi="宋体" w:eastAsia="宋体" w:cs="宋体"/>
                <w:color w:val="auto"/>
                <w:sz w:val="24"/>
                <w:szCs w:val="24"/>
                <w:u w:val="single"/>
                <w:lang w:val="en-US" w:eastAsia="zh-CN"/>
              </w:rPr>
              <w:t>工作内容和职责权</w:t>
            </w:r>
            <w:r>
              <w:rPr>
                <w:rFonts w:hint="eastAsia" w:ascii="宋体" w:hAnsi="宋体" w:eastAsia="宋体" w:cs="宋体"/>
                <w:color w:val="auto"/>
                <w:sz w:val="24"/>
                <w:szCs w:val="24"/>
                <w:lang w:val="en-US" w:eastAsia="zh-CN"/>
              </w:rPr>
              <w:t>限：</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负责本部门能源管理体系建立实施与运行持续改进。</w:t>
            </w:r>
          </w:p>
          <w:p>
            <w:pPr>
              <w:numPr>
                <w:ilvl w:val="0"/>
                <w:numId w:val="0"/>
              </w:num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参与内审、管理评审，对涉及本部门的不符合及改进项进行改进、跟踪； </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提供能源体系所需的资金。</w:t>
            </w:r>
          </w:p>
        </w:tc>
        <w:tc>
          <w:tcPr>
            <w:tcW w:w="722"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r>
              <w:rPr>
                <w:rFonts w:hint="eastAsia" w:ascii="宋体" w:hAnsi="宋体" w:eastAsia="宋体" w:cs="宋体"/>
                <w:sz w:val="24"/>
                <w:szCs w:val="24"/>
              </w:rPr>
              <w:t>运行的策划和控制</w:t>
            </w:r>
          </w:p>
        </w:tc>
        <w:tc>
          <w:tcPr>
            <w:tcW w:w="9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6.2 </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8.1 </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10867"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编制了文件化的《202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年能源目标指标方案》；</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本部门的能源目标指标“执行公司统一能源目标指标”；</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.12.底</w:t>
            </w:r>
            <w:r>
              <w:rPr>
                <w:rFonts w:hint="eastAsia" w:ascii="宋体" w:hAnsi="宋体" w:cs="宋体"/>
                <w:color w:val="auto"/>
                <w:sz w:val="24"/>
                <w:szCs w:val="24"/>
                <w:lang w:val="en-US" w:eastAsia="zh-CN"/>
              </w:rPr>
              <w:t>能源绩效考核结果基本达标、符合规定</w:t>
            </w:r>
            <w:r>
              <w:rPr>
                <w:rFonts w:hint="eastAsia" w:ascii="宋体" w:hAnsi="宋体" w:eastAsia="宋体" w:cs="宋体"/>
                <w:color w:val="auto"/>
                <w:sz w:val="24"/>
                <w:szCs w:val="24"/>
                <w:lang w:val="en-US" w:eastAsia="zh-CN"/>
              </w:rPr>
              <w:t>；</w:t>
            </w:r>
          </w:p>
          <w:p>
            <w:pPr>
              <w:numPr>
                <w:ilvl w:val="0"/>
                <w:numId w:val="0"/>
              </w:num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执行公司统一的</w:t>
            </w:r>
            <w:r>
              <w:rPr>
                <w:rFonts w:hint="eastAsia" w:ascii="宋体" w:hAnsi="宋体" w:eastAsia="宋体" w:cs="宋体"/>
                <w:color w:val="auto"/>
                <w:sz w:val="24"/>
                <w:szCs w:val="24"/>
                <w:lang w:val="en-US" w:eastAsia="zh-CN"/>
              </w:rPr>
              <w:t>《能源管理制度》（</w:t>
            </w:r>
            <w:r>
              <w:rPr>
                <w:rFonts w:hint="eastAsia" w:ascii="宋体" w:hAnsi="宋体" w:cs="宋体"/>
                <w:color w:val="auto"/>
                <w:sz w:val="24"/>
                <w:szCs w:val="24"/>
                <w:lang w:val="en-US" w:eastAsia="zh-CN"/>
              </w:rPr>
              <w:t>共</w:t>
            </w:r>
            <w:r>
              <w:rPr>
                <w:rFonts w:hint="eastAsia" w:ascii="宋体" w:hAnsi="宋体" w:eastAsia="宋体" w:cs="宋体"/>
                <w:color w:val="auto"/>
                <w:sz w:val="24"/>
                <w:szCs w:val="24"/>
                <w:lang w:val="en-US" w:eastAsia="zh-CN"/>
              </w:rPr>
              <w:t>13项）</w:t>
            </w:r>
            <w:r>
              <w:rPr>
                <w:rFonts w:hint="eastAsia" w:ascii="宋体" w:hAnsi="宋体" w:cs="宋体"/>
                <w:color w:val="auto"/>
                <w:sz w:val="24"/>
                <w:szCs w:val="24"/>
                <w:lang w:val="en-US" w:eastAsia="zh-CN"/>
              </w:rPr>
              <w:t>、部门</w:t>
            </w:r>
            <w:r>
              <w:rPr>
                <w:rFonts w:hint="eastAsia" w:ascii="宋体" w:hAnsi="宋体" w:eastAsia="宋体" w:cs="宋体"/>
                <w:color w:val="auto"/>
                <w:sz w:val="24"/>
                <w:szCs w:val="24"/>
                <w:lang w:val="en-US" w:eastAsia="zh-CN"/>
              </w:rPr>
              <w:t>日常办公注意节水节</w:t>
            </w:r>
            <w:r>
              <w:rPr>
                <w:rFonts w:hint="eastAsia" w:ascii="宋体" w:hAnsi="宋体" w:cs="宋体"/>
                <w:color w:val="auto"/>
                <w:sz w:val="24"/>
                <w:szCs w:val="24"/>
                <w:lang w:val="en-US" w:eastAsia="zh-CN"/>
              </w:rPr>
              <w:t>电、避免跑冒滴漏现象</w:t>
            </w:r>
            <w:r>
              <w:rPr>
                <w:rFonts w:hint="eastAsia" w:ascii="宋体" w:hAnsi="宋体" w:eastAsia="宋体" w:cs="宋体"/>
                <w:color w:val="auto"/>
                <w:sz w:val="24"/>
                <w:szCs w:val="24"/>
                <w:lang w:val="en-US" w:eastAsia="zh-CN"/>
              </w:rPr>
              <w:t>；</w:t>
            </w:r>
          </w:p>
          <w:p>
            <w:pPr>
              <w:numPr>
                <w:ilvl w:val="0"/>
                <w:numId w:val="0"/>
              </w:num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另</w:t>
            </w:r>
            <w:r>
              <w:rPr>
                <w:rFonts w:hint="eastAsia" w:ascii="宋体" w:hAnsi="宋体" w:eastAsia="宋体" w:cs="宋体"/>
                <w:color w:val="auto"/>
                <w:sz w:val="24"/>
                <w:szCs w:val="24"/>
                <w:lang w:val="en-US" w:eastAsia="zh-CN"/>
              </w:rPr>
              <w:t>查202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年能源投入资金分别是：</w:t>
            </w:r>
            <w:r>
              <w:rPr>
                <w:rFonts w:hint="eastAsia" w:ascii="宋体" w:hAnsi="宋体" w:cs="宋体"/>
                <w:color w:val="auto"/>
                <w:sz w:val="24"/>
                <w:szCs w:val="24"/>
                <w:lang w:val="en-US" w:eastAsia="zh-CN"/>
              </w:rPr>
              <w:t>电费314万元、蒸汽613万元、柴油53万元。</w:t>
            </w:r>
          </w:p>
        </w:tc>
        <w:tc>
          <w:tcPr>
            <w:tcW w:w="722" w:type="dxa"/>
            <w:vAlign w:val="top"/>
          </w:tcPr>
          <w:p>
            <w:pPr>
              <w:rPr>
                <w:rFonts w:hint="eastAsia"/>
              </w:rPr>
            </w:pPr>
          </w:p>
          <w:p>
            <w:pPr>
              <w:pStyle w:val="2"/>
              <w:rPr>
                <w:rFonts w:hint="eastAsia" w:ascii="宋体" w:hAnsi="宋体" w:eastAsia="宋体" w:cs="宋体"/>
                <w:sz w:val="24"/>
                <w:szCs w:val="24"/>
              </w:rPr>
            </w:pPr>
          </w:p>
          <w:p>
            <w:pPr>
              <w:pStyle w:val="2"/>
              <w:ind w:left="0" w:leftChars="0" w:firstLine="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y</w:t>
            </w:r>
          </w:p>
        </w:tc>
      </w:tr>
    </w:tbl>
    <w:p>
      <w:pPr>
        <w:pStyle w:val="7"/>
        <w:rPr>
          <w:sz w:val="21"/>
          <w:szCs w:val="21"/>
        </w:rPr>
      </w:pPr>
    </w:p>
    <w:p>
      <w:pPr>
        <w:pStyle w:val="7"/>
        <w:rPr>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36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40</w:t>
    </w:r>
    <w:r>
      <w:rPr>
        <w:b/>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Pr>
    </w:pPr>
    <w:r>
      <w:pict>
        <v:shape id="图片 0" o:spid="_x0000_s4099" o:spt="75" alt="新LOGO.png" type="#_x0000_t75" style="position:absolute;left:0pt;margin-left:-6pt;margin-top:-2.5pt;height:38.25pt;width:38.25pt;mso-wrap-distance-bottom:0pt;mso-wrap-distance-top:0pt;z-index:251660288;mso-width-relative:page;mso-height-relative:page;" filled="f" o:preferrelative="t" stroked="f" coordsize="21600,21600">
          <v:path/>
          <v:fill on="f" focussize="0,0"/>
          <v:stroke on="f"/>
          <v:imagedata r:id="rId1" o:title=""/>
          <o:lock v:ext="edit" aspectratio="t"/>
          <w10:wrap type="topAndBottom"/>
        </v:shape>
      </w:pict>
    </w:r>
    <w:r>
      <w:rPr>
        <w:rStyle w:val="18"/>
        <w:rFonts w:hint="eastAsia"/>
      </w:rPr>
      <w:t>北京国标联合认证有限公司</w:t>
    </w:r>
    <w:r>
      <w:rPr>
        <w:rStyle w:val="18"/>
      </w:rPr>
      <w:tab/>
    </w:r>
    <w:r>
      <w:rPr>
        <w:rStyle w:val="18"/>
      </w:rPr>
      <w:tab/>
    </w:r>
    <w:r>
      <w:rPr>
        <w:rStyle w:val="18"/>
      </w:rPr>
      <w:tab/>
    </w:r>
  </w:p>
  <w:p>
    <w:pPr>
      <w:pStyle w:val="8"/>
      <w:pBdr>
        <w:bottom w:val="none" w:color="auto" w:sz="0" w:space="0"/>
      </w:pBdr>
      <w:spacing w:line="320" w:lineRule="exact"/>
      <w:ind w:firstLine="720" w:firstLineChars="400"/>
      <w:jc w:val="left"/>
    </w:pPr>
    <w:r>
      <w:pict>
        <v:shape id="文本框 1" o:spid="_x0000_s4098" o:spt="202" type="#_x0000_t202" style="position:absolute;left:0pt;margin-left:638.7pt;margin-top:2.2pt;height:20.2pt;width:88.05pt;z-index:251659264;mso-width-relative:page;mso-height-relative:page;" fillcolor="#FFFFFF" filled="t" stroked="f" coordsize="21600,21600">
          <v:path/>
          <v:fill on="t" color2="#FFFFFF" focussize="0,0"/>
          <v:stroke on="f"/>
          <v:imagedata o:title=""/>
          <o:lock v:ext="edit" aspectratio="f"/>
          <v:textbox>
            <w:txbxContent>
              <w:p>
                <w:pPr>
                  <w:rPr>
                    <w:sz w:val="18"/>
                    <w:szCs w:val="18"/>
                  </w:rPr>
                </w:pPr>
                <w:r>
                  <w:rPr>
                    <w:rFonts w:hint="eastAsia"/>
                    <w:sz w:val="18"/>
                    <w:szCs w:val="18"/>
                  </w:rPr>
                  <w:t>ISC-B-II-12(05版）</w:t>
                </w:r>
              </w:p>
              <w:p/>
            </w:txbxContent>
          </v:textbox>
        </v:shape>
      </w:pict>
    </w:r>
    <w:r>
      <w:rPr>
        <w:rStyle w:val="18"/>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3373A"/>
    <w:rsid w:val="000400E2"/>
    <w:rsid w:val="00062E46"/>
    <w:rsid w:val="000E6B21"/>
    <w:rsid w:val="00104E57"/>
    <w:rsid w:val="001A2D7F"/>
    <w:rsid w:val="00240AD2"/>
    <w:rsid w:val="002939AD"/>
    <w:rsid w:val="0030297B"/>
    <w:rsid w:val="00314AF6"/>
    <w:rsid w:val="0032228B"/>
    <w:rsid w:val="00337922"/>
    <w:rsid w:val="00340867"/>
    <w:rsid w:val="00380837"/>
    <w:rsid w:val="003A198A"/>
    <w:rsid w:val="003E2930"/>
    <w:rsid w:val="00410914"/>
    <w:rsid w:val="004813A1"/>
    <w:rsid w:val="004F14A4"/>
    <w:rsid w:val="00536930"/>
    <w:rsid w:val="00564E53"/>
    <w:rsid w:val="005D5659"/>
    <w:rsid w:val="00600C20"/>
    <w:rsid w:val="00644FE2"/>
    <w:rsid w:val="0067640C"/>
    <w:rsid w:val="0067657C"/>
    <w:rsid w:val="006A0A1B"/>
    <w:rsid w:val="006E678B"/>
    <w:rsid w:val="007757F3"/>
    <w:rsid w:val="007A3E36"/>
    <w:rsid w:val="007A5F01"/>
    <w:rsid w:val="007C0A91"/>
    <w:rsid w:val="007C1B48"/>
    <w:rsid w:val="007E6AEB"/>
    <w:rsid w:val="008973EE"/>
    <w:rsid w:val="008C3CE4"/>
    <w:rsid w:val="00971600"/>
    <w:rsid w:val="009973B4"/>
    <w:rsid w:val="009C28C1"/>
    <w:rsid w:val="009F7EED"/>
    <w:rsid w:val="00A80636"/>
    <w:rsid w:val="00AF0AAB"/>
    <w:rsid w:val="00AF4DE5"/>
    <w:rsid w:val="00B0689E"/>
    <w:rsid w:val="00BA07B0"/>
    <w:rsid w:val="00BF597E"/>
    <w:rsid w:val="00C51A36"/>
    <w:rsid w:val="00C55228"/>
    <w:rsid w:val="00C63768"/>
    <w:rsid w:val="00C83D54"/>
    <w:rsid w:val="00CE315A"/>
    <w:rsid w:val="00D06F59"/>
    <w:rsid w:val="00D37267"/>
    <w:rsid w:val="00D8388C"/>
    <w:rsid w:val="00DF1096"/>
    <w:rsid w:val="00E6224C"/>
    <w:rsid w:val="00E85801"/>
    <w:rsid w:val="00EA2D69"/>
    <w:rsid w:val="00EB0164"/>
    <w:rsid w:val="00ED0F62"/>
    <w:rsid w:val="00EE1829"/>
    <w:rsid w:val="032C0718"/>
    <w:rsid w:val="103F7235"/>
    <w:rsid w:val="108219C2"/>
    <w:rsid w:val="10B61681"/>
    <w:rsid w:val="10F00FC0"/>
    <w:rsid w:val="128A0F3E"/>
    <w:rsid w:val="159D0073"/>
    <w:rsid w:val="1F5E1D5C"/>
    <w:rsid w:val="1F856020"/>
    <w:rsid w:val="21EA315E"/>
    <w:rsid w:val="237C31BC"/>
    <w:rsid w:val="35F86F55"/>
    <w:rsid w:val="388011A9"/>
    <w:rsid w:val="3DFA3EBC"/>
    <w:rsid w:val="3F6D3C71"/>
    <w:rsid w:val="41C74979"/>
    <w:rsid w:val="42E61C6F"/>
    <w:rsid w:val="44D97770"/>
    <w:rsid w:val="4B4E6831"/>
    <w:rsid w:val="51E7303F"/>
    <w:rsid w:val="59A63758"/>
    <w:rsid w:val="59F33ADC"/>
    <w:rsid w:val="5CF3050D"/>
    <w:rsid w:val="5EA12B9A"/>
    <w:rsid w:val="5FEC140B"/>
    <w:rsid w:val="6E0052CA"/>
    <w:rsid w:val="71F851A7"/>
    <w:rsid w:val="7297049C"/>
    <w:rsid w:val="73021290"/>
    <w:rsid w:val="7AC67178"/>
    <w:rsid w:val="7BD23A20"/>
    <w:rsid w:val="7FFC2D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2"/>
    <w:basedOn w:val="1"/>
    <w:next w:val="1"/>
    <w:qFormat/>
    <w:locked/>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13"/>
    <w:qFormat/>
    <w:uiPriority w:val="99"/>
    <w:rPr>
      <w:sz w:val="24"/>
    </w:rPr>
  </w:style>
  <w:style w:type="paragraph" w:styleId="5">
    <w:name w:val="Plain Text"/>
    <w:basedOn w:val="1"/>
    <w:link w:val="14"/>
    <w:qFormat/>
    <w:uiPriority w:val="99"/>
    <w:rPr>
      <w:rFonts w:ascii="宋体" w:hAnsi="Courier New" w:cs="Courier New"/>
      <w:szCs w:val="21"/>
    </w:rPr>
  </w:style>
  <w:style w:type="paragraph" w:styleId="6">
    <w:name w:val="Balloon Text"/>
    <w:basedOn w:val="1"/>
    <w:link w:val="15"/>
    <w:semiHidden/>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1">
    <w:name w:val="Table Grid"/>
    <w:basedOn w:val="10"/>
    <w:qFormat/>
    <w:locked/>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ody Text Char"/>
    <w:basedOn w:val="12"/>
    <w:link w:val="3"/>
    <w:semiHidden/>
    <w:qFormat/>
    <w:uiPriority w:val="99"/>
    <w:rPr>
      <w:rFonts w:ascii="Times New Roman" w:hAnsi="Times New Roman"/>
      <w:szCs w:val="20"/>
    </w:rPr>
  </w:style>
  <w:style w:type="character" w:customStyle="1" w:styleId="14">
    <w:name w:val="Plain Text Char"/>
    <w:basedOn w:val="12"/>
    <w:link w:val="5"/>
    <w:semiHidden/>
    <w:qFormat/>
    <w:uiPriority w:val="99"/>
    <w:rPr>
      <w:rFonts w:ascii="宋体" w:hAnsi="Courier New" w:cs="Courier New"/>
      <w:szCs w:val="21"/>
    </w:rPr>
  </w:style>
  <w:style w:type="character" w:customStyle="1" w:styleId="15">
    <w:name w:val="Balloon Text Char"/>
    <w:basedOn w:val="12"/>
    <w:link w:val="6"/>
    <w:semiHidden/>
    <w:qFormat/>
    <w:locked/>
    <w:uiPriority w:val="99"/>
    <w:rPr>
      <w:rFonts w:ascii="Times New Roman" w:hAnsi="Times New Roman" w:eastAsia="宋体" w:cs="Times New Roman"/>
      <w:sz w:val="18"/>
      <w:szCs w:val="18"/>
    </w:rPr>
  </w:style>
  <w:style w:type="character" w:customStyle="1" w:styleId="16">
    <w:name w:val="Footer Char"/>
    <w:basedOn w:val="12"/>
    <w:link w:val="7"/>
    <w:qFormat/>
    <w:locked/>
    <w:uiPriority w:val="99"/>
    <w:rPr>
      <w:rFonts w:ascii="Times New Roman" w:hAnsi="Times New Roman" w:eastAsia="宋体" w:cs="Times New Roman"/>
      <w:sz w:val="18"/>
      <w:szCs w:val="18"/>
    </w:rPr>
  </w:style>
  <w:style w:type="character" w:customStyle="1" w:styleId="17">
    <w:name w:val="Header Char"/>
    <w:basedOn w:val="12"/>
    <w:link w:val="8"/>
    <w:qFormat/>
    <w:locked/>
    <w:uiPriority w:val="99"/>
    <w:rPr>
      <w:rFonts w:ascii="Times New Roman" w:hAnsi="Times New Roman" w:eastAsia="宋体" w:cs="Times New Roman"/>
      <w:sz w:val="18"/>
      <w:szCs w:val="18"/>
    </w:rPr>
  </w:style>
  <w:style w:type="character" w:customStyle="1" w:styleId="18">
    <w:name w:val="Char Char1"/>
    <w:qFormat/>
    <w:locked/>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40</Pages>
  <Words>4488</Words>
  <Characters>25586</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2021-01-06T01:17:00Z</dcterms:created>
  <dc:creator>微软用户</dc:creator>
  <cp:lastModifiedBy>Lenovo</cp:lastModifiedBy>
  <dcterms:modified xsi:type="dcterms:W3CDTF">2022-03-06T08:50:24Z</dcterms:modified>
  <dc:title>管理体系审核记录表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DA57DB796BF445A8B1FE5AFC7FBC584E</vt:lpwstr>
  </property>
</Properties>
</file>