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vAlign w:val="center"/>
          </w:tcPr>
          <w:p>
            <w:pPr>
              <w:rPr>
                <w:sz w:val="24"/>
                <w:szCs w:val="24"/>
              </w:rPr>
            </w:pPr>
            <w:r>
              <w:rPr>
                <w:rFonts w:hint="eastAsia"/>
                <w:sz w:val="24"/>
                <w:szCs w:val="24"/>
              </w:rPr>
              <w:t xml:space="preserve">受审核部门：食品安全小组/食品安全小组 </w:t>
            </w:r>
            <w:r>
              <w:rPr>
                <w:sz w:val="24"/>
                <w:szCs w:val="24"/>
              </w:rPr>
              <w:t xml:space="preserve">     </w:t>
            </w:r>
            <w:r>
              <w:rPr>
                <w:rFonts w:hint="eastAsia"/>
                <w:sz w:val="24"/>
                <w:szCs w:val="24"/>
              </w:rPr>
              <w:t>负责人：方美红</w:t>
            </w:r>
            <w:r>
              <w:rPr>
                <w:sz w:val="24"/>
                <w:szCs w:val="24"/>
              </w:rPr>
              <w:t xml:space="preserve">        </w:t>
            </w:r>
            <w:r>
              <w:rPr>
                <w:rFonts w:hint="eastAsia"/>
                <w:sz w:val="24"/>
                <w:szCs w:val="24"/>
              </w:rPr>
              <w:t>陪同人员：章毅娴</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spacing w:before="120"/>
              <w:rPr>
                <w:sz w:val="24"/>
                <w:szCs w:val="24"/>
              </w:rPr>
            </w:pPr>
            <w:r>
              <w:rPr>
                <w:rFonts w:hint="eastAsia"/>
                <w:sz w:val="24"/>
                <w:szCs w:val="24"/>
              </w:rPr>
              <w:t>审核员：肖新龙、任泽华         审核日期：2022-0</w:t>
            </w:r>
            <w:r>
              <w:rPr>
                <w:sz w:val="24"/>
                <w:szCs w:val="24"/>
              </w:rPr>
              <w:t>3</w:t>
            </w:r>
            <w:r>
              <w:rPr>
                <w:rFonts w:hint="eastAsia"/>
                <w:sz w:val="24"/>
                <w:szCs w:val="24"/>
              </w:rPr>
              <w:t>-</w:t>
            </w:r>
            <w:r>
              <w:rPr>
                <w:sz w:val="24"/>
                <w:szCs w:val="24"/>
              </w:rPr>
              <w:t>0</w:t>
            </w:r>
            <w:r>
              <w:rPr>
                <w:rFonts w:hint="eastAsia"/>
                <w:sz w:val="24"/>
                <w:szCs w:val="24"/>
              </w:rPr>
              <w:t>2</w:t>
            </w:r>
          </w:p>
          <w:p>
            <w:pPr>
              <w:pStyle w:val="2"/>
            </w:pP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autoSpaceDE w:val="0"/>
              <w:autoSpaceDN w:val="0"/>
              <w:adjustRightInd w:val="0"/>
              <w:spacing w:line="360" w:lineRule="auto"/>
              <w:jc w:val="left"/>
            </w:pPr>
            <w:r>
              <w:rPr>
                <w:rFonts w:hint="eastAsia"/>
              </w:rPr>
              <w:t>审核条款：</w:t>
            </w:r>
          </w:p>
          <w:p>
            <w:pPr>
              <w:autoSpaceDE w:val="0"/>
              <w:autoSpaceDN w:val="0"/>
              <w:adjustRightInd w:val="0"/>
              <w:spacing w:line="360" w:lineRule="auto"/>
              <w:ind w:firstLine="480" w:firstLineChars="200"/>
              <w:jc w:val="left"/>
            </w:pPr>
            <w:r>
              <w:rPr>
                <w:rFonts w:hint="eastAsia"/>
                <w:sz w:val="24"/>
                <w:szCs w:val="24"/>
              </w:rPr>
              <w:t>FSMS:5</w:t>
            </w:r>
            <w:r>
              <w:rPr>
                <w:sz w:val="24"/>
                <w:szCs w:val="24"/>
              </w:rPr>
              <w:t>.3/</w:t>
            </w:r>
            <w:r>
              <w:rPr>
                <w:rFonts w:hint="eastAsia"/>
                <w:sz w:val="24"/>
                <w:szCs w:val="24"/>
              </w:rPr>
              <w:t>7.1.5/</w:t>
            </w:r>
            <w:r>
              <w:rPr>
                <w:sz w:val="24"/>
                <w:szCs w:val="24"/>
              </w:rPr>
              <w:t>8.2/8.3/8.5/8.6/8.8</w:t>
            </w:r>
            <w:r>
              <w:rPr>
                <w:rFonts w:hint="eastAsia"/>
                <w:sz w:val="24"/>
                <w:szCs w:val="24"/>
                <w:lang w:val="en-US" w:eastAsia="zh-CN"/>
              </w:rPr>
              <w:t>/8.9.5</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pPr>
              <w:rPr>
                <w:rFonts w:hint="eastAsia"/>
              </w:rPr>
            </w:pPr>
            <w:r>
              <w:rPr>
                <w:rFonts w:hint="eastAsia"/>
              </w:rPr>
              <w:t>F5.3</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290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有食品安全小组名单，包括了</w:t>
            </w:r>
            <w:r>
              <w:rPr>
                <w:rFonts w:hint="eastAsia" w:ascii="宋体" w:hAnsi="宋体" w:cs="宋体"/>
                <w:color w:val="000000"/>
                <w:szCs w:val="21"/>
                <w:u w:val="single"/>
              </w:rPr>
              <w:t xml:space="preserve">总经理、综合部、质检部、生产部、供销部 </w:t>
            </w:r>
            <w:r>
              <w:rPr>
                <w:rFonts w:hint="eastAsia"/>
              </w:rPr>
              <w:t>的人员</w:t>
            </w:r>
          </w:p>
          <w:p/>
          <w:p>
            <w:r>
              <w:rPr>
                <w:rFonts w:hint="eastAsia"/>
              </w:rPr>
              <w:t>公司在手册和《岗位职责和任职要求》中对食品安全小组/食品安全小组的职责进行了规定，主要负责做好食品安全策划、危害分析预备工作、危害分析、确定控制措施（包括H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方美红、许炼友 </w:t>
            </w:r>
            <w:r>
              <w:rPr>
                <w:rFonts w:hint="eastAsia"/>
              </w:rPr>
              <w:t>，基本清楚。</w:t>
            </w:r>
          </w:p>
          <w:p>
            <w:pPr>
              <w:pStyle w:val="2"/>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食品安全小组长/食品安全小组组长：</w:t>
            </w:r>
            <w:r>
              <w:rPr>
                <w:rFonts w:hint="eastAsia"/>
                <w:u w:val="single"/>
              </w:rPr>
              <w:t xml:space="preserve">  方美红</w:t>
            </w:r>
            <w:r>
              <w:rPr>
                <w:rFonts w:hint="eastAsia"/>
                <w:u w:val="single"/>
                <w:lang w:val="en-US" w:eastAsia="zh-CN"/>
              </w:rPr>
              <w:t xml:space="preserve"> 女士</w:t>
            </w:r>
            <w:r>
              <w:rPr>
                <w:rFonts w:hint="eastAsia"/>
                <w:u w:val="single"/>
              </w:rPr>
              <w:t xml:space="preserve">  </w:t>
            </w:r>
          </w:p>
          <w:p/>
          <w:p>
            <w:r>
              <w:rPr>
                <w:rFonts w:hint="eastAsia"/>
              </w:rPr>
              <w:t>食品安全小组长/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/食品安全管理体系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/食品安全小组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/食品安全管理体系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7"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7.1.5</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《前提方案》、</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rPr>
              <w:t xml:space="preserve">  G</w:t>
            </w:r>
            <w:r>
              <w:rPr>
                <w:u w:val="single"/>
              </w:rPr>
              <w:t>B14881-2013</w:t>
            </w:r>
            <w:r>
              <w:rPr>
                <w:rFonts w:hint="eastAsia"/>
                <w:u w:val="single"/>
              </w:rPr>
              <w:t xml:space="preserve">、GB 31646-2018 食品安全国家标准 速冻食品生产和经营卫生规范          </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w:t>
            </w:r>
            <w:r>
              <w:rPr>
                <w:u w:val="single"/>
              </w:rPr>
              <w:t>8</w:t>
            </w:r>
            <w:r>
              <w:rPr>
                <w:rFonts w:hint="eastAsia"/>
                <w:u w:val="single"/>
              </w:rPr>
              <w:t xml:space="preserve">月 </w:t>
            </w:r>
            <w:r>
              <w:rPr>
                <w:u w:val="single"/>
              </w:rPr>
              <w:t>2</w:t>
            </w:r>
            <w:r>
              <w:rPr>
                <w:rFonts w:hint="eastAsia"/>
                <w:u w:val="single"/>
              </w:rPr>
              <w:t xml:space="preserve">日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-1《食品安全前提方案 食品生产》；</w:t>
            </w:r>
          </w:p>
          <w:p>
            <w:pPr>
              <w:ind w:firstLine="420" w:firstLineChars="200"/>
            </w:pPr>
            <w:r>
              <w:rPr>
                <w:rFonts w:hint="eastAsia"/>
              </w:rPr>
              <w:sym w:font="Wingdings" w:char="00A8"/>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顾客要求：食品安全、营养、美味、快捷。</w:t>
            </w:r>
          </w:p>
          <w:p>
            <w:r>
              <w:t>3）适用法典和指南。</w:t>
            </w:r>
          </w:p>
          <w:p>
            <w:r>
              <w:rPr>
                <w:rFonts w:hint="eastAsia"/>
              </w:rPr>
              <w:t xml:space="preserve"> </w:t>
            </w:r>
            <w: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危害控制</w:t>
            </w:r>
          </w:p>
          <w:p>
            <w:r>
              <w:rPr>
                <w:rFonts w:hint="eastAsia"/>
              </w:rPr>
              <w:t>实施危害分析的预备步骤</w:t>
            </w:r>
          </w:p>
        </w:tc>
        <w:tc>
          <w:tcPr>
            <w:tcW w:w="1100" w:type="dxa"/>
            <w:gridSpan w:val="2"/>
            <w:vMerge w:val="restart"/>
            <w:shd w:val="clear" w:color="auto" w:fill="auto"/>
          </w:tcPr>
          <w:p>
            <w:r>
              <w:t>F8.5.1.1</w:t>
            </w:r>
          </w:p>
          <w:p>
            <w:pPr>
              <w:pStyle w:val="2"/>
            </w:pPr>
            <w:r>
              <w:rPr>
                <w:rFonts w:hint="eastAsia"/>
              </w:rPr>
              <w:t>总则</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HACCP管理手册8</w:t>
            </w:r>
            <w:r>
              <w:t>.5.1.1</w:t>
            </w:r>
            <w:r>
              <w:rPr>
                <w:rFonts w:hint="eastAsia"/>
              </w:rPr>
              <w:t xml:space="preserve">条款 </w:t>
            </w:r>
            <w:r>
              <w:rPr>
                <w:rFonts w:hint="eastAsia"/>
              </w:rPr>
              <w:sym w:font="Wingdings" w:char="00FE"/>
            </w:r>
            <w:r>
              <w:t>HACCP</w:t>
            </w:r>
            <w:r>
              <w:rPr>
                <w:rFonts w:hint="eastAsia"/>
              </w:rPr>
              <w:t>计划书</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u w:val="single"/>
              </w:rPr>
              <w:t xml:space="preserve">初次审核，根据文审意见进行了修改，后续将进行确认和验证，待下次审核验证。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bookmarkStart w:id="1" w:name="_GoBack" w:colFirst="1" w:colLast="3"/>
            <w:r>
              <w:rPr>
                <w:rFonts w:hint="eastAsia"/>
              </w:rPr>
              <w:t>实施危害分析的预备步骤</w:t>
            </w:r>
          </w:p>
          <w:p/>
        </w:tc>
        <w:tc>
          <w:tcPr>
            <w:tcW w:w="1100" w:type="dxa"/>
            <w:gridSpan w:val="2"/>
            <w:vMerge w:val="restart"/>
            <w:shd w:val="clear" w:color="auto" w:fill="auto"/>
          </w:tcPr>
          <w:p>
            <w:r>
              <w:rPr>
                <w:rFonts w:hint="eastAsia"/>
              </w:rPr>
              <w:t>F8.5.1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终产品描述</w:t>
            </w:r>
          </w:p>
          <w:p/>
          <w:p/>
          <w:p/>
          <w:p/>
          <w:p/>
          <w:p/>
          <w:p/>
          <w:p/>
          <w:p/>
          <w:p/>
          <w:p/>
          <w:p>
            <w:r>
              <w:rPr>
                <w:rFonts w:hint="eastAsia"/>
              </w:rPr>
              <w:t>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流程图的确认</w:t>
            </w:r>
          </w:p>
          <w:p>
            <w:pPr>
              <w:pStyle w:val="2"/>
            </w:pP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《HACCP 计划书》</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rPr>
              <w:t xml:space="preserve">鱼（鳜鱼、鲈鱼等）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rPr>
              <w:t xml:space="preserve"> 加工用水、食用盐        </w:t>
            </w:r>
          </w:p>
          <w:p>
            <w:pPr>
              <w:rPr>
                <w:u w:val="single"/>
              </w:rPr>
            </w:pPr>
            <w:r>
              <w:rPr>
                <w:rFonts w:hint="eastAsia"/>
              </w:rPr>
              <w:t>包装材料</w:t>
            </w:r>
            <w:r>
              <w:rPr>
                <w:rFonts w:hint="eastAsia"/>
                <w:u w:val="single"/>
              </w:rPr>
              <w:t>：</w:t>
            </w:r>
            <w:r>
              <w:rPr>
                <w:u w:val="single"/>
              </w:rPr>
              <w:t xml:space="preserve"> PE</w:t>
            </w:r>
            <w:r>
              <w:rPr>
                <w:rFonts w:hint="eastAsia"/>
                <w:u w:val="single"/>
              </w:rPr>
              <w:t xml:space="preserve">复合塑料袋  </w:t>
            </w:r>
          </w:p>
          <w:p>
            <w:pPr>
              <w:pStyle w:val="3"/>
              <w:ind w:left="0"/>
              <w:rPr>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FE"/>
            </w:r>
            <w:r>
              <w:rPr>
                <w:rFonts w:hint="eastAsia"/>
                <w:lang w:val="en-GB"/>
              </w:rPr>
              <w:t xml:space="preserve"> </w:t>
            </w:r>
            <w:r>
              <w:rPr>
                <w:rFonts w:hint="eastAsia"/>
                <w:bCs/>
              </w:rPr>
              <w:t>原料类别；</w:t>
            </w:r>
            <w:r>
              <w:rPr>
                <w:bCs/>
              </w:rPr>
              <w:t xml:space="preserve"> </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配方成分的组成，包括添加剂和加工助剂；仅使用食盐，不涉及添加剂或加工助剂；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盐渍鱼（生制品）</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2"/>
              <w:rPr>
                <w:bCs/>
              </w:rPr>
            </w:pPr>
          </w:p>
          <w:p>
            <w:r>
              <w:rPr>
                <w:rFonts w:hint="eastAsia"/>
              </w:rPr>
              <w:t>食品安全小组在产品描述的基础上，识别并确定所需的下列适用信息：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一般消费者（饭店、家庭个人等），对食物中所包含的原料有不良反应的顾客需慎食。</w:t>
            </w:r>
            <w:r>
              <w:rPr>
                <w:b/>
                <w:bCs/>
                <w:u w:val="single"/>
              </w:rPr>
              <w:t xml:space="preserve"> </w:t>
            </w:r>
            <w:r>
              <w:rPr>
                <w:rFonts w:hint="eastAsia"/>
                <w:b/>
                <w:bCs/>
                <w:u w:val="single"/>
              </w:rPr>
              <w:t xml:space="preserve">  </w:t>
            </w:r>
          </w:p>
          <w:p>
            <w:r>
              <w:rPr>
                <w:rFonts w:hint="eastAsia"/>
              </w:rPr>
              <w:t xml:space="preserve"> </w:t>
            </w:r>
            <w:r>
              <w:t xml:space="preserve"> </w:t>
            </w:r>
            <w:r>
              <w:rPr>
                <w:rFonts w:hint="eastAsia"/>
              </w:rPr>
              <w:t xml:space="preserve">产品的储藏条件，为 </w:t>
            </w:r>
            <w:r>
              <w:rPr>
                <w:rFonts w:hint="eastAsia"/>
                <w:u w:val="single"/>
              </w:rPr>
              <w:t>-</w:t>
            </w:r>
            <w:r>
              <w:rPr>
                <w:u w:val="single"/>
              </w:rPr>
              <w:t>18</w:t>
            </w:r>
            <w:r>
              <w:rPr>
                <w:rFonts w:hint="eastAsia" w:ascii="宋体" w:hAnsi="宋体" w:cs="宋体"/>
                <w:sz w:val="20"/>
                <w:u w:val="single"/>
                <w:shd w:val="clear" w:color="auto" w:fill="FFFFFF"/>
              </w:rPr>
              <w:t>℃环境</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w:t>
            </w:r>
            <w:r>
              <w:rPr>
                <w:rFonts w:hint="eastAsia"/>
                <w:u w:val="single"/>
              </w:rPr>
              <w:t>-18℃环境，12个月</w:t>
            </w:r>
            <w:r>
              <w:rPr>
                <w:u w:val="single"/>
              </w:rPr>
              <w:t xml:space="preserve"> </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A8"/>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FE"/>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rPr>
              <w:t>一般消费者（饭店、家庭个人等），目前以各类酒店等餐饮企业为多。</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其他（学校师生）；</w:t>
            </w:r>
          </w:p>
          <w:p>
            <w:pPr>
              <w:rPr>
                <w:u w:val="single"/>
              </w:rPr>
            </w:pPr>
            <w:r>
              <w:rPr>
                <w:rFonts w:hint="eastAsia"/>
              </w:rPr>
              <w:t>f）产品非预期（但极可能出现）的使用或使用方式：</w:t>
            </w:r>
            <w:r>
              <w:rPr>
                <w:rFonts w:hint="eastAsia"/>
                <w:u w:val="single"/>
              </w:rPr>
              <w:t xml:space="preserve"> 无相关描述。</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《H</w:t>
            </w:r>
            <w:r>
              <w:rPr>
                <w:u w:val="single"/>
              </w:rPr>
              <w:t>ACCP</w:t>
            </w:r>
            <w:r>
              <w:rPr>
                <w:rFonts w:hint="eastAsia"/>
                <w:u w:val="single"/>
              </w:rPr>
              <w:t>计划书》</w:t>
            </w:r>
            <w:r>
              <w:rPr>
                <w:rFonts w:hint="eastAsia"/>
              </w:rPr>
              <w:t>。</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返工点和循环点；返工点重烧步骤</w:t>
            </w:r>
            <w:r>
              <w:t xml:space="preserve"> </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highlight w:val="yellow"/>
                <w:lang w:val="en-GB"/>
              </w:rPr>
              <w:t>询问食品安全小组组长，</w:t>
            </w:r>
            <w:r>
              <w:rPr>
                <w:rFonts w:hint="eastAsia"/>
                <w:highlight w:val="yellow"/>
                <w:lang w:val="en-US" w:eastAsia="zh-CN"/>
              </w:rPr>
              <w:t>表明</w:t>
            </w:r>
            <w:r>
              <w:rPr>
                <w:rFonts w:hint="eastAsia"/>
                <w:highlight w:val="yellow"/>
              </w:rPr>
              <w:t>没有进行流程图准确性的确认，导致一阶段出现流程图与实际不一致的情况。已经进行了现场沟通。</w:t>
            </w:r>
          </w:p>
          <w:p/>
          <w:p>
            <w:r>
              <w:rPr>
                <w:rFonts w:hint="eastAsia"/>
              </w:rPr>
              <w:t>现场观察流程图与实际生产制作过程有一致，审核期间组织进行了调整，基本符合。</w:t>
            </w:r>
          </w:p>
        </w:tc>
        <w:tc>
          <w:tcPr>
            <w:tcW w:w="1553" w:type="dxa"/>
            <w:vMerge w:val="continue"/>
            <w:shd w:val="clear" w:color="auto" w:fill="auto"/>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8" w:type="dxa"/>
            <w:vMerge w:val="continue"/>
            <w:shd w:val="clear" w:color="auto" w:fill="auto"/>
          </w:tcPr>
          <w:p>
            <w:bookmarkStart w:id="0" w:name="_Hlk96687087"/>
          </w:p>
        </w:tc>
        <w:tc>
          <w:tcPr>
            <w:tcW w:w="1100" w:type="dxa"/>
            <w:gridSpan w:val="2"/>
            <w:shd w:val="clear" w:color="auto" w:fill="auto"/>
          </w:tcPr>
          <w:p>
            <w:r>
              <w:rPr>
                <w:rFonts w:hint="eastAsia"/>
              </w:rPr>
              <w:t xml:space="preserve">过程描述及流程图的制定 </w:t>
            </w:r>
          </w:p>
          <w:p/>
        </w:tc>
        <w:tc>
          <w:tcPr>
            <w:tcW w:w="677" w:type="dxa"/>
            <w:shd w:val="clear" w:color="auto" w:fill="auto"/>
          </w:tcPr>
          <w:p/>
        </w:tc>
        <w:tc>
          <w:tcPr>
            <w:tcW w:w="9328"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A8"/>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危害分析</w:t>
            </w:r>
          </w:p>
        </w:tc>
        <w:tc>
          <w:tcPr>
            <w:tcW w:w="1100" w:type="dxa"/>
            <w:gridSpan w:val="2"/>
            <w:vMerge w:val="restart"/>
            <w:shd w:val="clear" w:color="auto" w:fill="auto"/>
          </w:tcPr>
          <w:p>
            <w:r>
              <w:rPr>
                <w:rFonts w:hint="eastAsia"/>
              </w:rPr>
              <w:t>F8.5.2</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《H</w:t>
            </w:r>
            <w:r>
              <w:t>ACCP</w:t>
            </w:r>
            <w:r>
              <w:rPr>
                <w:rFonts w:hint="eastAsia"/>
              </w:rPr>
              <w:t>计划书》</w:t>
            </w:r>
          </w:p>
        </w:tc>
        <w:tc>
          <w:tcPr>
            <w:tcW w:w="1553"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color w:val="FF0000"/>
              </w:rPr>
            </w:pPr>
            <w:r>
              <w:rPr>
                <w:color w:val="FF0000"/>
              </w:rPr>
              <w:sym w:font="Wingdings" w:char="00FE"/>
            </w:r>
            <w:r>
              <w:rPr>
                <w:rFonts w:hint="eastAsia"/>
                <w:color w:val="FF0000"/>
              </w:rPr>
              <w:t>不符合</w:t>
            </w: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食品安全小组于</w:t>
            </w:r>
            <w:r>
              <w:rPr>
                <w:rFonts w:hint="eastAsia"/>
                <w:u w:val="single"/>
              </w:rPr>
              <w:t xml:space="preserve">  20</w:t>
            </w:r>
            <w:r>
              <w:rPr>
                <w:u w:val="single"/>
              </w:rPr>
              <w:t>21</w:t>
            </w:r>
            <w:r>
              <w:rPr>
                <w:rFonts w:hint="eastAsia"/>
              </w:rPr>
              <w:t>年</w:t>
            </w:r>
            <w:r>
              <w:rPr>
                <w:u w:val="single"/>
              </w:rPr>
              <w:t>8</w:t>
            </w:r>
            <w:r>
              <w:rPr>
                <w:rFonts w:hint="eastAsia"/>
              </w:rPr>
              <w:t>月</w:t>
            </w:r>
            <w:r>
              <w:rPr>
                <w:rFonts w:hint="eastAsia"/>
                <w:u w:val="single"/>
              </w:rPr>
              <w:t xml:space="preserve"> </w:t>
            </w:r>
            <w:r>
              <w:rPr>
                <w:u w:val="single"/>
              </w:rPr>
              <w:t xml:space="preserve">2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食品安全小组/食品安全小组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05" w:type="dxa"/>
                  <w:shd w:val="clear" w:color="auto" w:fill="auto"/>
                </w:tcPr>
                <w:p>
                  <w:pPr>
                    <w:autoSpaceDE w:val="0"/>
                    <w:autoSpaceDN w:val="0"/>
                    <w:adjustRightInd w:val="0"/>
                    <w:jc w:val="left"/>
                    <w:rPr>
                      <w:bCs/>
                      <w:szCs w:val="21"/>
                      <w:lang w:val="en-GB"/>
                    </w:rPr>
                  </w:pPr>
                  <w:r>
                    <w:rPr>
                      <w:rFonts w:hint="eastAsia"/>
                      <w:bCs/>
                      <w:szCs w:val="21"/>
                    </w:rPr>
                    <w:t>水产类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lang w:val="en-GB"/>
                    </w:rPr>
                    <w:t>食盐</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A8"/>
                  </w:r>
                  <w:r>
                    <w:rPr>
                      <w:rFonts w:hint="eastAsia"/>
                      <w:bCs/>
                      <w:szCs w:val="21"/>
                    </w:rPr>
                    <w:t>企业自行检测（农残测定）</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生产用水</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color w:val="000000"/>
                      <w:szCs w:val="21"/>
                    </w:rPr>
                    <w:t>包材器皿：P</w:t>
                  </w:r>
                  <w:r>
                    <w:rPr>
                      <w:color w:val="000000"/>
                      <w:szCs w:val="21"/>
                    </w:rPr>
                    <w:t>E/PET</w:t>
                  </w:r>
                  <w:r>
                    <w:rPr>
                      <w:rFonts w:hint="eastAsia"/>
                      <w:color w:val="000000"/>
                      <w:szCs w:val="21"/>
                    </w:rPr>
                    <w:t>类</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 xml:space="preserve">农药残留 </w:t>
                  </w:r>
                  <w:r>
                    <w:rPr>
                      <w:rFonts w:hint="eastAsia"/>
                      <w:bCs/>
                      <w:szCs w:val="21"/>
                      <w:lang w:val="en-GB"/>
                    </w:rPr>
                    <w:sym w:font="Wingdings" w:char="00A8"/>
                  </w:r>
                  <w:r>
                    <w:rPr>
                      <w:rFonts w:hint="eastAsia"/>
                      <w:bCs/>
                      <w:szCs w:val="21"/>
                      <w:lang w:val="en-GB"/>
                    </w:rPr>
                    <w:t>兽药残留</w:t>
                  </w:r>
                </w:p>
                <w:p>
                  <w:pPr>
                    <w:pStyle w:val="2"/>
                    <w:rPr>
                      <w:lang w:val="en-GB"/>
                    </w:rPr>
                  </w:pPr>
                  <w:r>
                    <w:rPr>
                      <w:rFonts w:hint="eastAsia"/>
                      <w:bCs/>
                      <w:sz w:val="21"/>
                      <w:szCs w:val="21"/>
                      <w:lang w:val="en-GB"/>
                    </w:rPr>
                    <w:sym w:font="Wingdings" w:char="00FE"/>
                  </w:r>
                  <w:r>
                    <w:rPr>
                      <w:rFonts w:hint="eastAsia"/>
                      <w:bCs/>
                      <w:sz w:val="21"/>
                      <w:szCs w:val="21"/>
                      <w:lang w:val="en-GB"/>
                    </w:rPr>
                    <w:t>溶剂残留</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FE"/>
                  </w:r>
                  <w:r>
                    <w:rPr>
                      <w:rFonts w:hint="eastAsia"/>
                      <w:szCs w:val="21"/>
                    </w:rPr>
                    <w:t>企业自行检测</w:t>
                  </w:r>
                </w:p>
                <w:p>
                  <w:pPr>
                    <w:autoSpaceDE w:val="0"/>
                    <w:autoSpaceDN w:val="0"/>
                    <w:adjustRightInd w:val="0"/>
                    <w:jc w:val="left"/>
                    <w:rPr>
                      <w:szCs w:val="21"/>
                    </w:rPr>
                  </w:pPr>
                  <w:r>
                    <w:rPr>
                      <w:rFonts w:hint="eastAsia"/>
                      <w:bCs/>
                      <w:szCs w:val="21"/>
                    </w:rPr>
                    <w:sym w:font="Wingdings" w:char="00A8"/>
                  </w:r>
                  <w:r>
                    <w:rPr>
                      <w:rFonts w:hint="eastAsia"/>
                      <w:szCs w:val="21"/>
                    </w:rPr>
                    <w:t>第三方检测报告</w:t>
                  </w:r>
                </w:p>
                <w:p>
                  <w:pPr>
                    <w:autoSpaceDE w:val="0"/>
                    <w:autoSpaceDN w:val="0"/>
                    <w:adjustRightInd w:val="0"/>
                    <w:jc w:val="left"/>
                    <w:rPr>
                      <w:bCs/>
                      <w:szCs w:val="21"/>
                    </w:rPr>
                  </w:pPr>
                  <w:r>
                    <w:rPr>
                      <w:rFonts w:hint="eastAsia"/>
                      <w:bCs/>
                      <w:szCs w:val="21"/>
                    </w:rPr>
                    <w:sym w:font="Wingdings" w:char="00FE"/>
                  </w:r>
                  <w:r>
                    <w:rPr>
                      <w:rFonts w:hint="eastAsia"/>
                      <w:bCs/>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pStyle w:val="2"/>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bl>
          <w:p>
            <w:pPr>
              <w:rPr>
                <w:bCs/>
              </w:rPr>
            </w:pPr>
          </w:p>
          <w:p>
            <w:pPr>
              <w:tabs>
                <w:tab w:val="right" w:pos="3119"/>
              </w:tabs>
              <w:rPr>
                <w:rFonts w:hint="default" w:eastAsia="宋体"/>
                <w:b/>
                <w:lang w:val="en-US" w:eastAsia="zh-CN"/>
              </w:rPr>
            </w:pPr>
            <w:r>
              <w:rPr>
                <w:rFonts w:hint="eastAsia"/>
                <w:b/>
              </w:rPr>
              <w:t>最终产品危害分析：</w:t>
            </w:r>
            <w:r>
              <w:rPr>
                <w:rFonts w:hint="eastAsia"/>
                <w:b/>
                <w:lang w:val="en-US" w:eastAsia="zh-CN"/>
              </w:rPr>
              <w:t>主要为臭鳜鱼</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主要成品名称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pStyle w:val="2"/>
                    <w:rPr>
                      <w:lang w:val="en-GB"/>
                    </w:rPr>
                  </w:pPr>
                  <w:r>
                    <w:rPr>
                      <w:rFonts w:hint="eastAsia"/>
                      <w:bCs/>
                      <w:lang w:val="en-GB" w:eastAsia="zh-CN"/>
                    </w:rPr>
                    <w:t>盐渍鱼</w:t>
                  </w:r>
                  <w:r>
                    <w:rPr>
                      <w:rFonts w:hint="eastAsia"/>
                      <w:lang w:val="en-GB"/>
                    </w:rPr>
                    <w:t>（臭鳜鱼</w:t>
                  </w:r>
                  <w:r>
                    <w:rPr>
                      <w:rFonts w:hint="eastAsia"/>
                      <w:lang w:val="en-GB" w:eastAsia="zh-CN"/>
                    </w:rPr>
                    <w:t>、</w:t>
                  </w:r>
                  <w:r>
                    <w:rPr>
                      <w:rFonts w:hint="eastAsia"/>
                      <w:lang w:val="en-US" w:eastAsia="zh-CN"/>
                    </w:rPr>
                    <w:t>臭鲈鱼</w:t>
                  </w:r>
                  <w:r>
                    <w:rPr>
                      <w:rFonts w:hint="eastAsia"/>
                      <w:lang w:val="en-GB"/>
                    </w:rPr>
                    <w:t>）</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rPr>
                    <w:sym w:font="Wingdings" w:char="00FE"/>
                  </w:r>
                  <w:r>
                    <w:rPr>
                      <w:rFonts w:hint="eastAsia"/>
                      <w:bCs/>
                    </w:rPr>
                    <w:t>兽</w:t>
                  </w:r>
                  <w:r>
                    <w:rPr>
                      <w:rFonts w:hint="eastAsia"/>
                      <w:bCs/>
                      <w:lang w:val="en-GB"/>
                    </w:rPr>
                    <w:t>药残留</w:t>
                  </w:r>
                </w:p>
                <w:p>
                  <w:pPr>
                    <w:rPr>
                      <w:bCs/>
                      <w:lang w:val="en-GB"/>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bCs/>
                    </w:rPr>
                    <w:sym w:font="Wingdings" w:char="00A8"/>
                  </w:r>
                  <w:r>
                    <w:rPr>
                      <w:rFonts w:hint="eastAsia"/>
                      <w:bCs/>
                    </w:rPr>
                    <w:t>作业指导书&amp;GHP</w:t>
                  </w:r>
                </w:p>
                <w:p>
                  <w:pPr>
                    <w:rPr>
                      <w:bCs/>
                    </w:rPr>
                  </w:pPr>
                  <w:r>
                    <w:rPr>
                      <w:rFonts w:hint="eastAsia"/>
                      <w:bCs/>
                    </w:rPr>
                    <w:sym w:font="Wingdings" w:char="00FE"/>
                  </w:r>
                  <w:r>
                    <w:rPr>
                      <w:bCs/>
                    </w:rPr>
                    <w:t>CCPs</w:t>
                  </w:r>
                </w:p>
                <w:p>
                  <w:pPr>
                    <w:rPr>
                      <w:bCs/>
                      <w:lang w:val="en-GB"/>
                    </w:rPr>
                  </w:pPr>
                  <w:r>
                    <w:rPr>
                      <w:rFonts w:hint="eastAsia"/>
                    </w:rPr>
                    <w:sym w:font="Wingdings" w:char="00FE"/>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305" w:type="dxa"/>
                  <w:shd w:val="clear" w:color="auto" w:fill="auto"/>
                  <w:vAlign w:val="center"/>
                </w:tcPr>
                <w:p>
                  <w:pPr>
                    <w:jc w:val="left"/>
                    <w:rPr>
                      <w:bCs/>
                      <w:lang w:val="en-GB"/>
                    </w:rPr>
                  </w:pP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lang w:val="en-GB"/>
                    </w:rPr>
                  </w:pPr>
                  <w:r>
                    <w:rPr>
                      <w:rFonts w:hint="eastAsia"/>
                      <w:szCs w:val="21"/>
                    </w:rPr>
                    <w:sym w:font="Wingdings" w:char="00A8"/>
                  </w:r>
                  <w:r>
                    <w:rPr>
                      <w:rFonts w:hint="eastAsia"/>
                      <w:szCs w:val="21"/>
                    </w:rPr>
                    <w:t>溶剂残留</w:t>
                  </w:r>
                </w:p>
              </w:tc>
              <w:tc>
                <w:tcPr>
                  <w:tcW w:w="3665" w:type="dxa"/>
                  <w:shd w:val="clear" w:color="auto" w:fill="auto"/>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交叉污染      </w:t>
            </w:r>
          </w:p>
          <w:p>
            <w:pPr>
              <w:rPr>
                <w:u w:val="single"/>
              </w:rPr>
            </w:pPr>
            <w:r>
              <w:rPr>
                <w:rFonts w:hint="eastAsia"/>
              </w:rPr>
              <w:sym w:font="Wingdings" w:char="00FE"/>
            </w:r>
            <w:r>
              <w:rPr>
                <w:rFonts w:hint="eastAsia"/>
              </w:rPr>
              <w:t>腌制过程：</w:t>
            </w:r>
            <w:r>
              <w:rPr>
                <w:rFonts w:hint="eastAsia"/>
                <w:u w:val="single"/>
              </w:rPr>
              <w:t xml:space="preserve">    时间温度控制不当，导致微生物繁殖 </w:t>
            </w:r>
          </w:p>
          <w:p>
            <w:pPr>
              <w:rPr>
                <w:u w:val="single"/>
              </w:rPr>
            </w:pPr>
            <w:r>
              <w:rPr>
                <w:rFonts w:hint="eastAsia"/>
              </w:rPr>
              <w:sym w:font="Wingdings" w:char="00FE"/>
            </w:r>
            <w:r>
              <w:rPr>
                <w:rFonts w:hint="eastAsia"/>
              </w:rPr>
              <w:t>速冻过程：</w:t>
            </w:r>
            <w:r>
              <w:rPr>
                <w:rFonts w:hint="eastAsia"/>
                <w:u w:val="single"/>
              </w:rPr>
              <w:t xml:space="preserve">    温度控制不当，导致微生物繁殖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温度控制不当，微生物繁殖</w:t>
            </w:r>
          </w:p>
          <w:p>
            <w:pPr>
              <w:rPr>
                <w:color w:val="FF0000"/>
                <w:highlight w:val="none"/>
                <w:lang w:val="en-GB"/>
              </w:rPr>
            </w:pPr>
            <w:r>
              <w:rPr>
                <w:rFonts w:hint="eastAsia"/>
                <w:color w:val="FF0000"/>
                <w:highlight w:val="none"/>
                <w:lang w:val="en-GB"/>
              </w:rPr>
              <w:t>在进行危害识别评价时，存在不匹配情况的，如识别包装材料（塑料袋）时化学危害为“无”，询问实际管控时索取包装材料中重金属、化学物质迁移量等检测结果，所进行危害评估与实际不匹配，所采取的控制措施与风险不匹配，开具不符合报告。</w:t>
            </w:r>
          </w:p>
          <w:p>
            <w:pPr>
              <w:rPr>
                <w:lang w:val="en-GB"/>
              </w:rPr>
            </w:pPr>
          </w:p>
          <w:p>
            <w:r>
              <w:rPr>
                <w:rFonts w:hint="eastAsia"/>
              </w:rPr>
              <w:t>组织确定了所识别最终产品的每种食品安全危害的可接受水平。</w:t>
            </w:r>
          </w:p>
          <w:p>
            <w:pPr>
              <w:pStyle w:val="2"/>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693"/>
              <w:gridCol w:w="2601"/>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2693" w:type="dxa"/>
                  <w:shd w:val="clear" w:color="auto" w:fill="FFFFFF"/>
                </w:tcPr>
                <w:p>
                  <w:pPr>
                    <w:jc w:val="center"/>
                    <w:rPr>
                      <w:bCs/>
                    </w:rPr>
                  </w:pPr>
                  <w:r>
                    <w:rPr>
                      <w:rFonts w:hint="eastAsia"/>
                      <w:bCs/>
                    </w:rPr>
                    <w:t>潜在危害</w:t>
                  </w:r>
                </w:p>
              </w:tc>
              <w:tc>
                <w:tcPr>
                  <w:tcW w:w="2601"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bCs/>
                      <w:lang w:val="en-GB" w:eastAsia="zh-CN"/>
                    </w:rPr>
                    <w:t>盐渍鱼</w:t>
                  </w:r>
                  <w:r>
                    <w:rPr>
                      <w:rFonts w:hint="eastAsia"/>
                      <w:lang w:val="en-GB"/>
                    </w:rPr>
                    <w:t>（臭鳜鱼）</w:t>
                  </w:r>
                </w:p>
              </w:tc>
              <w:tc>
                <w:tcPr>
                  <w:tcW w:w="2693"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601" w:type="dxa"/>
                  <w:vAlign w:val="center"/>
                </w:tcPr>
                <w:p>
                  <w:pPr>
                    <w:rPr>
                      <w:rFonts w:ascii="宋体" w:hAnsi="宋体"/>
                      <w:kern w:val="0"/>
                      <w:szCs w:val="21"/>
                    </w:rPr>
                  </w:pPr>
                  <w:r>
                    <w:rPr>
                      <w:rFonts w:hint="eastAsia"/>
                      <w:bCs/>
                    </w:rPr>
                    <w:t>按</w:t>
                  </w:r>
                  <w:r>
                    <w:rPr>
                      <w:bCs/>
                    </w:rPr>
                    <w:t>SB/T10379-2021</w:t>
                  </w:r>
                  <w:r>
                    <w:rPr>
                      <w:rFonts w:hint="eastAsia"/>
                      <w:bCs/>
                    </w:rPr>
                    <w:t>标准及制定的《HACCP计划》执行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ascii="宋体" w:hAnsi="宋体" w:cs="宋体"/>
                      <w:szCs w:val="21"/>
                    </w:rPr>
                    <w:t>——</w:t>
                  </w:r>
                </w:p>
              </w:tc>
              <w:tc>
                <w:tcPr>
                  <w:tcW w:w="2693" w:type="dxa"/>
                  <w:shd w:val="clear" w:color="auto" w:fill="FFFFFF"/>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pStyle w:val="2"/>
                  </w:pPr>
                  <w:r>
                    <w:rPr>
                      <w:rFonts w:hint="eastAsia"/>
                    </w:rPr>
                    <w:sym w:font="Wingdings" w:char="00A8"/>
                  </w:r>
                  <w:r>
                    <w:rPr>
                      <w:rFonts w:hint="eastAsia"/>
                      <w:sz w:val="21"/>
                      <w:szCs w:val="21"/>
                    </w:rPr>
                    <w:t>阴离子合成洗涤剂残留</w:t>
                  </w:r>
                </w:p>
              </w:tc>
              <w:tc>
                <w:tcPr>
                  <w:tcW w:w="2601" w:type="dxa"/>
                  <w:vAlign w:val="center"/>
                </w:tcPr>
                <w:p>
                  <w:pPr>
                    <w:rPr>
                      <w:rFonts w:ascii="宋体" w:hAnsi="宋体" w:cs="宋体"/>
                      <w:szCs w:val="21"/>
                      <w:lang w:val="en-GB"/>
                    </w:rPr>
                  </w:pPr>
                </w:p>
              </w:tc>
              <w:tc>
                <w:tcPr>
                  <w:tcW w:w="1818" w:type="dxa"/>
                  <w:vAlign w:val="bottom"/>
                </w:tcPr>
                <w:p>
                  <w:r>
                    <w:rPr>
                      <w:rFonts w:hint="eastAsia"/>
                    </w:rPr>
                    <w:sym w:font="Wingdings" w:char="00A8"/>
                  </w:r>
                  <w:r>
                    <w:rPr>
                      <w:rFonts w:hint="eastAsia"/>
                    </w:rPr>
                    <w:t>法律、法规</w:t>
                  </w:r>
                </w:p>
                <w:p>
                  <w:pPr>
                    <w:rPr>
                      <w:bCs/>
                    </w:rPr>
                  </w:pPr>
                  <w:r>
                    <w:rPr>
                      <w:rFonts w:hint="eastAsia"/>
                    </w:rPr>
                    <w:sym w:font="Wingdings" w:char="00A8"/>
                  </w:r>
                  <w:r>
                    <w:rPr>
                      <w:rFonts w:hint="eastAsia"/>
                    </w:rPr>
                    <w:t>客户要求</w:t>
                  </w:r>
                </w:p>
                <w:p>
                  <w:pPr>
                    <w:rPr>
                      <w:bCs/>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bCs/>
                    </w:rPr>
                  </w:pPr>
                </w:p>
              </w:tc>
              <w:tc>
                <w:tcPr>
                  <w:tcW w:w="2693" w:type="dxa"/>
                  <w:shd w:val="clear" w:color="auto" w:fill="FFFFFF"/>
                  <w:vAlign w:val="bottom"/>
                </w:tcPr>
                <w:p>
                  <w:pPr>
                    <w:pStyle w:val="2"/>
                    <w:rPr>
                      <w:sz w:val="21"/>
                      <w:szCs w:val="21"/>
                    </w:rPr>
                  </w:pPr>
                </w:p>
              </w:tc>
              <w:tc>
                <w:tcPr>
                  <w:tcW w:w="2601" w:type="dxa"/>
                  <w:vAlign w:val="center"/>
                </w:tcPr>
                <w:p>
                  <w:pPr>
                    <w:rPr>
                      <w:bCs/>
                    </w:rPr>
                  </w:pPr>
                </w:p>
              </w:tc>
              <w:tc>
                <w:tcPr>
                  <w:tcW w:w="1818" w:type="dxa"/>
                  <w:vAlign w:val="bottom"/>
                </w:tcPr>
                <w:p>
                  <w:pPr>
                    <w:rPr>
                      <w:bCs/>
                    </w:rPr>
                  </w:pPr>
                </w:p>
              </w:tc>
            </w:tr>
          </w:tbl>
          <w:p>
            <w:pPr>
              <w:pStyle w:val="2"/>
            </w:pPr>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A8"/>
            </w:r>
            <w:r>
              <w:rPr>
                <w:rFonts w:hint="eastAsia"/>
              </w:rPr>
              <w:t xml:space="preserve">OPRP  </w:t>
            </w:r>
            <w:r>
              <w:rPr>
                <w:rFonts w:hint="eastAsia"/>
                <w:bCs/>
              </w:rPr>
              <w:sym w:font="Wingdings" w:char="00A8"/>
            </w:r>
            <w:r>
              <w:rPr>
                <w:rFonts w:hint="eastAsia"/>
              </w:rPr>
              <w:t xml:space="preserve">CCPs  </w:t>
            </w:r>
            <w:r>
              <w:rPr>
                <w:rFonts w:hint="eastAsia"/>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auto"/>
          </w:tcPr>
          <w:p>
            <w:r>
              <w:rPr>
                <w:rFonts w:hint="eastAsia"/>
              </w:rPr>
              <w:t>F8.5.3</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《管理手册》8.5.3条款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90"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p>
          <w:p>
            <w:pPr>
              <w:rPr>
                <w:color w:val="0000FF"/>
              </w:rPr>
            </w:pPr>
            <w:r>
              <w:rPr>
                <w:rFonts w:hint="eastAsia"/>
              </w:rPr>
              <w:t>确认时间：</w:t>
            </w:r>
            <w:r>
              <w:rPr>
                <w:rFonts w:hint="eastAsia"/>
                <w:highlight w:val="none"/>
              </w:rPr>
              <w:sym w:font="Wingdings" w:char="00FE"/>
            </w:r>
            <w:r>
              <w:rPr>
                <w:highlight w:val="none"/>
              </w:rPr>
              <w:t>8</w:t>
            </w:r>
            <w:r>
              <w:rPr>
                <w:rFonts w:hint="eastAsia"/>
                <w:highlight w:val="none"/>
              </w:rPr>
              <w:t>月1</w:t>
            </w:r>
            <w:r>
              <w:rPr>
                <w:highlight w:val="none"/>
              </w:rPr>
              <w:t>0</w:t>
            </w:r>
            <w:r>
              <w:rPr>
                <w:rFonts w:hint="eastAsia"/>
                <w:highlight w:val="none"/>
              </w:rPr>
              <w:t>日，在实施之后，不合理，已现场沟通</w:t>
            </w:r>
            <w:r>
              <w:rPr>
                <w:rFonts w:hint="eastAsia"/>
              </w:rPr>
              <w:t>。</w:t>
            </w:r>
            <w:r>
              <w:rPr>
                <w:rFonts w:hint="eastAsia"/>
              </w:rPr>
              <w:sym w:font="Wingdings" w:char="00A8"/>
            </w:r>
            <w:r>
              <w:rPr>
                <w:rFonts w:hint="eastAsia"/>
              </w:rPr>
              <w:t xml:space="preserve">变更后    </w:t>
            </w:r>
            <w:r>
              <w:rPr>
                <w:rFonts w:hint="eastAsia"/>
              </w:rPr>
              <w:sym w:font="Wingdings" w:char="00FE"/>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纠正措施</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企业自行制定《HACCP计划书》</w:t>
            </w:r>
          </w:p>
          <w:p/>
          <w:p>
            <w:r>
              <w:rPr>
                <w:rFonts w:hint="eastAsia"/>
              </w:rPr>
              <w:t>在食品安全管理体系初次运行时，应保留相应的记录，以证明在现有的操作条件下食品安全管理体系能持续达到控制效果。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 xml:space="preserve">审核周期内未发生  </w:t>
            </w:r>
            <w:r>
              <w:rPr>
                <w:u w:val="single"/>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7"/>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559"/>
              <w:gridCol w:w="1134"/>
              <w:gridCol w:w="2126"/>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rPr>
                      <w:rFonts w:hint="eastAsia"/>
                    </w:rPr>
                    <w:t>日期</w:t>
                  </w:r>
                </w:p>
              </w:tc>
              <w:tc>
                <w:tcPr>
                  <w:tcW w:w="1559" w:type="dxa"/>
                </w:tcPr>
                <w:p>
                  <w:r>
                    <w:rPr>
                      <w:rFonts w:hint="eastAsia"/>
                    </w:rPr>
                    <w:t>样品名称/批次</w:t>
                  </w:r>
                </w:p>
              </w:tc>
              <w:tc>
                <w:tcPr>
                  <w:tcW w:w="1134" w:type="dxa"/>
                </w:tcPr>
                <w:p>
                  <w:r>
                    <w:rPr>
                      <w:rFonts w:hint="eastAsia"/>
                    </w:rPr>
                    <w:t>送检方式</w:t>
                  </w:r>
                </w:p>
              </w:tc>
              <w:tc>
                <w:tcPr>
                  <w:tcW w:w="2126" w:type="dxa"/>
                </w:tcPr>
                <w:p>
                  <w:r>
                    <w:rPr>
                      <w:rFonts w:hint="eastAsia"/>
                      <w:b/>
                      <w:bCs/>
                    </w:rPr>
                    <w:t>报告编号</w:t>
                  </w:r>
                </w:p>
              </w:tc>
              <w:tc>
                <w:tcPr>
                  <w:tcW w:w="1276" w:type="dxa"/>
                </w:tcPr>
                <w:p>
                  <w:r>
                    <w:rPr>
                      <w:rFonts w:hint="eastAsia"/>
                    </w:rPr>
                    <w:t>报告日期</w:t>
                  </w:r>
                </w:p>
              </w:tc>
              <w:tc>
                <w:tcPr>
                  <w:tcW w:w="184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r>
                    <w:rPr>
                      <w:rFonts w:hint="eastAsia"/>
                    </w:rPr>
                    <w:t>2</w:t>
                  </w:r>
                  <w:r>
                    <w:t>021.11.15</w:t>
                  </w:r>
                </w:p>
              </w:tc>
              <w:tc>
                <w:tcPr>
                  <w:tcW w:w="1559" w:type="dxa"/>
                </w:tcPr>
                <w:p>
                  <w:r>
                    <w:rPr>
                      <w:rFonts w:hint="eastAsia"/>
                    </w:rPr>
                    <w:t>臭鲈鱼</w:t>
                  </w:r>
                </w:p>
              </w:tc>
              <w:tc>
                <w:tcPr>
                  <w:tcW w:w="1134" w:type="dxa"/>
                </w:tcPr>
                <w:p>
                  <w:r>
                    <w:rPr>
                      <w:rFonts w:hint="eastAsia"/>
                    </w:rPr>
                    <w:t>委托检验</w:t>
                  </w:r>
                </w:p>
              </w:tc>
              <w:tc>
                <w:tcPr>
                  <w:tcW w:w="2126" w:type="dxa"/>
                </w:tcPr>
                <w:p>
                  <w:r>
                    <w:t>YA132111WQ00540</w:t>
                  </w:r>
                </w:p>
              </w:tc>
              <w:tc>
                <w:tcPr>
                  <w:tcW w:w="1276" w:type="dxa"/>
                </w:tcPr>
                <w:p>
                  <w:r>
                    <w:rPr>
                      <w:rFonts w:hint="eastAsia"/>
                    </w:rPr>
                    <w:t>2</w:t>
                  </w:r>
                  <w:r>
                    <w:t>021.11.15</w:t>
                  </w:r>
                </w:p>
              </w:tc>
              <w:tc>
                <w:tcPr>
                  <w:tcW w:w="1843"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highlight w:val="yellow"/>
                    </w:rPr>
                  </w:pPr>
                </w:p>
              </w:tc>
              <w:tc>
                <w:tcPr>
                  <w:tcW w:w="1559" w:type="dxa"/>
                </w:tcPr>
                <w:p>
                  <w:pPr>
                    <w:rPr>
                      <w:highlight w:val="yellow"/>
                    </w:rPr>
                  </w:pPr>
                </w:p>
              </w:tc>
              <w:tc>
                <w:tcPr>
                  <w:tcW w:w="1134" w:type="dxa"/>
                </w:tcPr>
                <w:p>
                  <w:pPr>
                    <w:rPr>
                      <w:highlight w:val="yellow"/>
                    </w:rPr>
                  </w:pPr>
                </w:p>
              </w:tc>
              <w:tc>
                <w:tcPr>
                  <w:tcW w:w="2126" w:type="dxa"/>
                </w:tcPr>
                <w:p>
                  <w:pPr>
                    <w:rPr>
                      <w:highlight w:val="yellow"/>
                    </w:rPr>
                  </w:pPr>
                </w:p>
              </w:tc>
              <w:tc>
                <w:tcPr>
                  <w:tcW w:w="1276" w:type="dxa"/>
                </w:tcPr>
                <w:p>
                  <w:pPr>
                    <w:rPr>
                      <w:highlight w:val="yellow"/>
                    </w:rPr>
                  </w:pPr>
                </w:p>
              </w:tc>
              <w:tc>
                <w:tcPr>
                  <w:tcW w:w="1843" w:type="dxa"/>
                </w:tcPr>
                <w:p>
                  <w:pPr>
                    <w:rPr>
                      <w:highlight w:val="yellow"/>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9" w:type="dxa"/>
                </w:tcPr>
                <w:p>
                  <w:pPr>
                    <w:rPr>
                      <w:highlight w:val="yellow"/>
                    </w:rPr>
                  </w:pPr>
                </w:p>
              </w:tc>
              <w:tc>
                <w:tcPr>
                  <w:tcW w:w="1559" w:type="dxa"/>
                </w:tcPr>
                <w:p>
                  <w:pPr>
                    <w:rPr>
                      <w:highlight w:val="yellow"/>
                    </w:rPr>
                  </w:pPr>
                </w:p>
              </w:tc>
              <w:tc>
                <w:tcPr>
                  <w:tcW w:w="1134" w:type="dxa"/>
                </w:tcPr>
                <w:p>
                  <w:pPr>
                    <w:rPr>
                      <w:highlight w:val="yellow"/>
                    </w:rPr>
                  </w:pPr>
                </w:p>
              </w:tc>
              <w:tc>
                <w:tcPr>
                  <w:tcW w:w="2126" w:type="dxa"/>
                </w:tcPr>
                <w:p>
                  <w:pPr>
                    <w:rPr>
                      <w:highlight w:val="yellow"/>
                    </w:rPr>
                  </w:pPr>
                </w:p>
              </w:tc>
              <w:tc>
                <w:tcPr>
                  <w:tcW w:w="1276" w:type="dxa"/>
                </w:tcPr>
                <w:p>
                  <w:pPr>
                    <w:rPr>
                      <w:highlight w:val="yellow"/>
                    </w:rPr>
                  </w:pPr>
                </w:p>
              </w:tc>
              <w:tc>
                <w:tcPr>
                  <w:tcW w:w="1843" w:type="dxa"/>
                </w:tcPr>
                <w:p>
                  <w:pPr>
                    <w:rPr>
                      <w:highlight w:val="yellow"/>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pStyle w:val="2"/>
            </w:pPr>
          </w:p>
          <w:p>
            <w:r>
              <w:rPr>
                <w:rFonts w:hint="eastAsia"/>
              </w:rPr>
              <w:t>当确认结果表明上述不能被证实时，组织应对控制措施和（或） 其组合进行修改和重新评估。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401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修改项目</w:t>
                  </w:r>
                </w:p>
              </w:tc>
              <w:tc>
                <w:tcPr>
                  <w:tcW w:w="401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控制措施（过程参数、 严格度和/或其组合）</w:t>
                  </w:r>
                </w:p>
              </w:tc>
              <w:tc>
                <w:tcPr>
                  <w:tcW w:w="401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原料</w:t>
                  </w:r>
                </w:p>
              </w:tc>
              <w:tc>
                <w:tcPr>
                  <w:tcW w:w="401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工艺技术</w:t>
                  </w:r>
                </w:p>
              </w:tc>
              <w:tc>
                <w:tcPr>
                  <w:tcW w:w="401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成品特性</w:t>
                  </w:r>
                </w:p>
              </w:tc>
              <w:tc>
                <w:tcPr>
                  <w:tcW w:w="401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物流方式</w:t>
                  </w:r>
                </w:p>
              </w:tc>
              <w:tc>
                <w:tcPr>
                  <w:tcW w:w="401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r>
                    <w:rPr>
                      <w:rFonts w:hint="eastAsia"/>
                    </w:rPr>
                    <w:t>成品预期用途</w:t>
                  </w:r>
                </w:p>
              </w:tc>
              <w:tc>
                <w:tcPr>
                  <w:tcW w:w="4010" w:type="dxa"/>
                </w:tcPr>
                <w:p>
                  <w:r>
                    <w:rPr>
                      <w:rFonts w:hint="eastAsia"/>
                    </w:rPr>
                    <w:t>——</w:t>
                  </w:r>
                </w:p>
              </w:tc>
              <w:tc>
                <w:tcPr>
                  <w:tcW w:w="2589" w:type="dxa"/>
                </w:tcPr>
                <w:p/>
              </w:tc>
            </w:tr>
          </w:tbl>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100" w:type="dxa"/>
            <w:gridSpan w:val="2"/>
            <w:vMerge w:val="restart"/>
            <w:shd w:val="clear" w:color="auto" w:fill="auto"/>
          </w:tcPr>
          <w:p>
            <w:r>
              <w:rPr>
                <w:rFonts w:hint="eastAsia"/>
              </w:rPr>
              <w:t>F8.5.4</w:t>
            </w:r>
          </w:p>
        </w:tc>
        <w:tc>
          <w:tcPr>
            <w:tcW w:w="677" w:type="dxa"/>
            <w:shd w:val="clear" w:color="auto" w:fill="auto"/>
          </w:tcPr>
          <w:p>
            <w:r>
              <w:rPr>
                <w:rFonts w:hint="eastAsia"/>
              </w:rPr>
              <w:t>文件名称</w:t>
            </w:r>
          </w:p>
        </w:tc>
        <w:tc>
          <w:tcPr>
            <w:tcW w:w="9328" w:type="dxa"/>
            <w:shd w:val="clear" w:color="auto" w:fill="auto"/>
          </w:tcPr>
          <w:p>
            <w:r>
              <w:rPr>
                <w:rFonts w:hint="eastAsia"/>
              </w:rPr>
              <w:t>如：</w:t>
            </w:r>
            <w:r>
              <w:rPr>
                <w:rFonts w:hint="eastAsia"/>
              </w:rPr>
              <w:sym w:font="Wingdings 2" w:char="0052"/>
            </w:r>
            <w:r>
              <w:rPr>
                <w:rFonts w:hint="eastAsia"/>
              </w:rPr>
              <w:t>《HACCP计划》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color w:val="FF0000"/>
              </w:rPr>
              <w:sym w:font="Wingdings" w:char="00A8"/>
            </w:r>
            <w:r>
              <w:rPr>
                <w:rFonts w:hint="eastAsia"/>
                <w:color w:val="FF0000"/>
              </w:rPr>
              <w:t>符合</w:t>
            </w:r>
          </w:p>
          <w:p>
            <w:pPr>
              <w:pStyle w:val="2"/>
              <w:rPr>
                <w:color w:val="FF0000"/>
              </w:rPr>
            </w:pPr>
            <w:r>
              <w:rPr>
                <w:color w:val="FF0000"/>
              </w:rPr>
              <w:sym w:font="Wingdings" w:char="00FE"/>
            </w:r>
            <w:r>
              <w:rPr>
                <w:rFonts w:hint="eastAsia"/>
                <w:color w:val="FF0000"/>
              </w:rPr>
              <w:t>不符合</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22"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7"/>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1276"/>
              <w:gridCol w:w="3543"/>
              <w:gridCol w:w="1985"/>
              <w:gridCol w:w="13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016"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控制措施</w:t>
                  </w:r>
                </w:p>
              </w:tc>
              <w:tc>
                <w:tcPr>
                  <w:tcW w:w="1276"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所控制显著危害</w:t>
                  </w:r>
                </w:p>
              </w:tc>
              <w:tc>
                <w:tcPr>
                  <w:tcW w:w="3543"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行动准则/CL</w:t>
                  </w:r>
                </w:p>
              </w:tc>
              <w:tc>
                <w:tcPr>
                  <w:tcW w:w="1985"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监控程序</w:t>
                  </w:r>
                </w:p>
              </w:tc>
              <w:tc>
                <w:tcPr>
                  <w:tcW w:w="1357"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3" w:hRule="atLeast"/>
              </w:trPr>
              <w:tc>
                <w:tcPr>
                  <w:tcW w:w="1016" w:type="dxa"/>
                  <w:tcBorders>
                    <w:tl2br w:val="nil"/>
                    <w:tr2bl w:val="nil"/>
                  </w:tcBorders>
                  <w:tcMar>
                    <w:left w:w="0" w:type="dxa"/>
                    <w:right w:w="0" w:type="dxa"/>
                  </w:tcMar>
                  <w:vAlign w:val="center"/>
                </w:tcPr>
                <w:p>
                  <w:pPr>
                    <w:rPr>
                      <w:color w:val="000000"/>
                      <w:szCs w:val="21"/>
                    </w:rPr>
                  </w:pPr>
                  <w:r>
                    <w:rPr>
                      <w:rFonts w:hint="eastAsia"/>
                      <w:color w:val="000000"/>
                      <w:szCs w:val="21"/>
                    </w:rPr>
                    <w:t>CCP1：原料鱼采购验收</w:t>
                  </w:r>
                </w:p>
              </w:tc>
              <w:tc>
                <w:tcPr>
                  <w:tcW w:w="1276" w:type="dxa"/>
                  <w:tcBorders>
                    <w:tl2br w:val="nil"/>
                    <w:tr2bl w:val="nil"/>
                  </w:tcBorders>
                  <w:tcMar>
                    <w:left w:w="0" w:type="dxa"/>
                    <w:right w:w="0" w:type="dxa"/>
                  </w:tcMar>
                  <w:vAlign w:val="center"/>
                </w:tcPr>
                <w:p>
                  <w:pPr>
                    <w:rPr>
                      <w:color w:val="000000"/>
                      <w:szCs w:val="21"/>
                    </w:rPr>
                  </w:pPr>
                  <w:r>
                    <w:rPr>
                      <w:rFonts w:hint="eastAsia"/>
                      <w:color w:val="000000"/>
                      <w:szCs w:val="21"/>
                    </w:rPr>
                    <w:t>化学危害：兽药残留超标</w:t>
                  </w:r>
                </w:p>
              </w:tc>
              <w:tc>
                <w:tcPr>
                  <w:tcW w:w="3543"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合格供方评价需达标，提供检验报告，并进行进货检验/</w:t>
                  </w:r>
                </w:p>
                <w:p>
                  <w:pPr>
                    <w:rPr>
                      <w:rFonts w:hint="eastAsia"/>
                      <w:color w:val="000000"/>
                      <w:szCs w:val="21"/>
                    </w:rPr>
                  </w:pPr>
                  <w:r>
                    <w:rPr>
                      <w:rFonts w:hint="eastAsia"/>
                      <w:color w:val="000000"/>
                      <w:szCs w:val="21"/>
                    </w:rPr>
                    <w:t>氯霉素＜0.1μg/kg（0.1ppb）</w:t>
                  </w:r>
                </w:p>
                <w:p>
                  <w:pPr>
                    <w:rPr>
                      <w:rFonts w:hint="eastAsia"/>
                      <w:color w:val="000000"/>
                      <w:szCs w:val="21"/>
                    </w:rPr>
                  </w:pPr>
                  <w:r>
                    <w:rPr>
                      <w:rFonts w:hint="eastAsia"/>
                      <w:color w:val="000000"/>
                      <w:szCs w:val="21"/>
                    </w:rPr>
                    <w:t>孔雀石绿＜2μg/kg（0.1ppb）</w:t>
                  </w:r>
                </w:p>
                <w:p>
                  <w:pPr>
                    <w:rPr>
                      <w:rFonts w:hint="eastAsia"/>
                      <w:color w:val="000000"/>
                      <w:szCs w:val="21"/>
                    </w:rPr>
                  </w:pPr>
                  <w:r>
                    <w:rPr>
                      <w:rFonts w:hint="eastAsia"/>
                      <w:color w:val="000000"/>
                      <w:szCs w:val="21"/>
                    </w:rPr>
                    <w:t>呋喃西林＜0.5μg/kg（0.1ppb）</w:t>
                  </w:r>
                </w:p>
                <w:p>
                  <w:pPr>
                    <w:rPr>
                      <w:color w:val="000000"/>
                      <w:szCs w:val="21"/>
                    </w:rPr>
                  </w:pPr>
                  <w:r>
                    <w:rPr>
                      <w:rFonts w:hint="eastAsia"/>
                      <w:color w:val="000000"/>
                      <w:szCs w:val="21"/>
                    </w:rPr>
                    <w:t>呋喃唑酮＜0.5μg/kg（0.1ppb）</w:t>
                  </w:r>
                </w:p>
              </w:tc>
              <w:tc>
                <w:tcPr>
                  <w:tcW w:w="1985" w:type="dxa"/>
                  <w:tcBorders>
                    <w:tl2br w:val="nil"/>
                    <w:tr2bl w:val="nil"/>
                  </w:tcBorders>
                  <w:tcMar>
                    <w:left w:w="0" w:type="dxa"/>
                    <w:right w:w="0" w:type="dxa"/>
                  </w:tcMar>
                  <w:vAlign w:val="center"/>
                </w:tcPr>
                <w:p>
                  <w:pPr>
                    <w:rPr>
                      <w:color w:val="000000"/>
                      <w:szCs w:val="21"/>
                    </w:rPr>
                  </w:pPr>
                  <w:r>
                    <w:rPr>
                      <w:rFonts w:hint="eastAsia"/>
                      <w:color w:val="000000"/>
                      <w:szCs w:val="21"/>
                    </w:rPr>
                    <w:t>原料验收人员每年对供应商进行评价，每批次原料进货检验</w:t>
                  </w:r>
                </w:p>
              </w:tc>
              <w:tc>
                <w:tcPr>
                  <w:tcW w:w="1357" w:type="dxa"/>
                  <w:tcBorders>
                    <w:tl2br w:val="nil"/>
                    <w:tr2bl w:val="nil"/>
                  </w:tcBorders>
                  <w:tcMar>
                    <w:left w:w="0" w:type="dxa"/>
                    <w:right w:w="0" w:type="dxa"/>
                  </w:tcMar>
                  <w:vAlign w:val="center"/>
                </w:tcPr>
                <w:p>
                  <w:pPr>
                    <w:rPr>
                      <w:color w:val="000000"/>
                      <w:szCs w:val="21"/>
                    </w:rPr>
                  </w:pPr>
                  <w:r>
                    <w:rPr>
                      <w:rFonts w:hint="eastAsia"/>
                      <w:color w:val="000000"/>
                      <w:szCs w:val="21"/>
                    </w:rPr>
                    <w:t>原料验收记录、合格证明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016" w:type="dxa"/>
                  <w:tcBorders>
                    <w:tl2br w:val="nil"/>
                    <w:tr2bl w:val="nil"/>
                  </w:tcBorders>
                  <w:tcMar>
                    <w:left w:w="0" w:type="dxa"/>
                    <w:right w:w="0" w:type="dxa"/>
                  </w:tcMar>
                  <w:vAlign w:val="center"/>
                </w:tcPr>
                <w:p>
                  <w:pPr>
                    <w:rPr>
                      <w:color w:val="FF0000"/>
                      <w:szCs w:val="21"/>
                      <w:highlight w:val="none"/>
                    </w:rPr>
                  </w:pPr>
                  <w:r>
                    <w:rPr>
                      <w:color w:val="FF0000"/>
                      <w:szCs w:val="21"/>
                      <w:highlight w:val="none"/>
                    </w:rPr>
                    <w:t>OPRP</w:t>
                  </w:r>
                  <w:r>
                    <w:rPr>
                      <w:rFonts w:hint="eastAsia"/>
                      <w:color w:val="FF0000"/>
                      <w:szCs w:val="21"/>
                      <w:highlight w:val="none"/>
                    </w:rPr>
                    <w:t>：</w:t>
                  </w:r>
                </w:p>
                <w:p>
                  <w:pPr>
                    <w:pStyle w:val="2"/>
                    <w:rPr>
                      <w:rFonts w:hint="eastAsia"/>
                    </w:rPr>
                  </w:pPr>
                  <w:r>
                    <w:rPr>
                      <w:rFonts w:hint="eastAsia"/>
                      <w:color w:val="FF0000"/>
                      <w:sz w:val="21"/>
                      <w:szCs w:val="21"/>
                      <w:highlight w:val="none"/>
                    </w:rPr>
                    <w:t>包装过程</w:t>
                  </w:r>
                </w:p>
              </w:tc>
              <w:tc>
                <w:tcPr>
                  <w:tcW w:w="1276"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杂质异物</w:t>
                  </w:r>
                </w:p>
              </w:tc>
              <w:tc>
                <w:tcPr>
                  <w:tcW w:w="3543" w:type="dxa"/>
                  <w:tcBorders>
                    <w:tl2br w:val="nil"/>
                    <w:tr2bl w:val="nil"/>
                  </w:tcBorders>
                  <w:tcMar>
                    <w:left w:w="0" w:type="dxa"/>
                    <w:right w:w="0" w:type="dxa"/>
                  </w:tcMar>
                  <w:vAlign w:val="center"/>
                </w:tcPr>
                <w:p>
                  <w:pPr>
                    <w:rPr>
                      <w:rFonts w:hint="eastAsia"/>
                      <w:color w:val="000000"/>
                      <w:szCs w:val="21"/>
                    </w:rPr>
                  </w:pPr>
                  <w:r>
                    <w:rPr>
                      <w:rFonts w:hint="eastAsia"/>
                      <w:szCs w:val="21"/>
                    </w:rPr>
                    <w:t>保障作业人员、方法、环境、设施的卫生/无肉眼可见杂质异物</w:t>
                  </w:r>
                </w:p>
              </w:tc>
              <w:tc>
                <w:tcPr>
                  <w:tcW w:w="1985"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每天清洁检查包装间车间及设备设施卫生状况</w:t>
                  </w:r>
                </w:p>
              </w:tc>
              <w:tc>
                <w:tcPr>
                  <w:tcW w:w="1357"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车间清洗消毒记录、成品检验记录出厂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016" w:type="dxa"/>
                  <w:tcBorders>
                    <w:tl2br w:val="nil"/>
                    <w:tr2bl w:val="nil"/>
                  </w:tcBorders>
                  <w:tcMar>
                    <w:left w:w="0" w:type="dxa"/>
                    <w:right w:w="0" w:type="dxa"/>
                  </w:tcMar>
                  <w:vAlign w:val="center"/>
                </w:tcPr>
                <w:p>
                  <w:pPr>
                    <w:rPr>
                      <w:color w:val="000000"/>
                      <w:szCs w:val="21"/>
                    </w:rPr>
                  </w:pPr>
                </w:p>
              </w:tc>
              <w:tc>
                <w:tcPr>
                  <w:tcW w:w="1276" w:type="dxa"/>
                  <w:tcBorders>
                    <w:tl2br w:val="nil"/>
                    <w:tr2bl w:val="nil"/>
                  </w:tcBorders>
                  <w:tcMar>
                    <w:left w:w="0" w:type="dxa"/>
                    <w:right w:w="0" w:type="dxa"/>
                  </w:tcMar>
                  <w:vAlign w:val="center"/>
                </w:tcPr>
                <w:p>
                  <w:pPr>
                    <w:rPr>
                      <w:color w:val="000000"/>
                      <w:szCs w:val="21"/>
                    </w:rPr>
                  </w:pPr>
                </w:p>
              </w:tc>
              <w:tc>
                <w:tcPr>
                  <w:tcW w:w="3543" w:type="dxa"/>
                  <w:tcBorders>
                    <w:tl2br w:val="nil"/>
                    <w:tr2bl w:val="nil"/>
                  </w:tcBorders>
                  <w:tcMar>
                    <w:left w:w="0" w:type="dxa"/>
                    <w:right w:w="0" w:type="dxa"/>
                  </w:tcMar>
                  <w:vAlign w:val="center"/>
                </w:tcPr>
                <w:p>
                  <w:pPr>
                    <w:pStyle w:val="2"/>
                    <w:rPr>
                      <w:sz w:val="21"/>
                      <w:szCs w:val="21"/>
                    </w:rPr>
                  </w:pPr>
                </w:p>
              </w:tc>
              <w:tc>
                <w:tcPr>
                  <w:tcW w:w="1985" w:type="dxa"/>
                  <w:tcBorders>
                    <w:tl2br w:val="nil"/>
                    <w:tr2bl w:val="nil"/>
                  </w:tcBorders>
                  <w:tcMar>
                    <w:left w:w="0" w:type="dxa"/>
                    <w:right w:w="0" w:type="dxa"/>
                  </w:tcMar>
                  <w:vAlign w:val="center"/>
                </w:tcPr>
                <w:p>
                  <w:pPr>
                    <w:rPr>
                      <w:color w:val="000000"/>
                      <w:szCs w:val="21"/>
                    </w:rPr>
                  </w:pPr>
                </w:p>
              </w:tc>
              <w:tc>
                <w:tcPr>
                  <w:tcW w:w="1357" w:type="dxa"/>
                  <w:tcBorders>
                    <w:tl2br w:val="nil"/>
                    <w:tr2bl w:val="nil"/>
                  </w:tcBorders>
                  <w:tcMar>
                    <w:left w:w="0" w:type="dxa"/>
                    <w:right w:w="0" w:type="dxa"/>
                  </w:tcMar>
                  <w:vAlign w:val="center"/>
                </w:tcPr>
                <w:p>
                  <w:pPr>
                    <w:rPr>
                      <w:szCs w:val="21"/>
                    </w:rPr>
                  </w:pPr>
                </w:p>
              </w:tc>
            </w:tr>
          </w:tbl>
          <w:p>
            <w:pPr>
              <w:rPr>
                <w:rFonts w:hint="eastAsia"/>
                <w:szCs w:val="21"/>
              </w:rPr>
            </w:pPr>
            <w:r>
              <w:rPr>
                <w:rFonts w:hint="eastAsia"/>
                <w:color w:val="FF0000"/>
                <w:szCs w:val="21"/>
                <w:highlight w:val="none"/>
              </w:rPr>
              <w:t>在识别中评估确定的O</w:t>
            </w:r>
            <w:r>
              <w:rPr>
                <w:color w:val="FF0000"/>
                <w:szCs w:val="21"/>
                <w:highlight w:val="none"/>
              </w:rPr>
              <w:t>PRP</w:t>
            </w:r>
            <w:r>
              <w:rPr>
                <w:rFonts w:hint="eastAsia"/>
                <w:color w:val="FF0000"/>
                <w:szCs w:val="21"/>
                <w:highlight w:val="none"/>
              </w:rPr>
              <w:t>不合理，在分析表中确定的接触材料验收、沥干等为O</w:t>
            </w:r>
            <w:r>
              <w:rPr>
                <w:color w:val="FF0000"/>
                <w:szCs w:val="21"/>
                <w:highlight w:val="none"/>
              </w:rPr>
              <w:t>PRP</w:t>
            </w:r>
            <w:r>
              <w:rPr>
                <w:rFonts w:hint="eastAsia"/>
                <w:color w:val="FF0000"/>
                <w:szCs w:val="21"/>
                <w:highlight w:val="none"/>
              </w:rPr>
              <w:t>，但未提供行动准则、监控等策划。开具不符合报告。</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1057" w:hRule="atLeast"/>
        </w:trPr>
        <w:tc>
          <w:tcPr>
            <w:tcW w:w="1788" w:type="dxa"/>
            <w:vMerge w:val="continue"/>
            <w:shd w:val="clear" w:color="auto" w:fill="auto"/>
          </w:tcPr>
          <w:p/>
        </w:tc>
        <w:tc>
          <w:tcPr>
            <w:tcW w:w="1100" w:type="dxa"/>
            <w:gridSpan w:val="2"/>
            <w:shd w:val="clear" w:color="auto" w:fill="auto"/>
          </w:tcPr>
          <w:p>
            <w:r>
              <w:rPr>
                <w:rFonts w:hint="eastAsia"/>
              </w:rPr>
              <w:t>F8.5.4.4 超出关键限值或行动限值采取的措施</w:t>
            </w:r>
          </w:p>
          <w:p>
            <w:pPr>
              <w:pStyle w:val="2"/>
            </w:pPr>
          </w:p>
        </w:tc>
        <w:tc>
          <w:tcPr>
            <w:tcW w:w="677" w:type="dxa"/>
            <w:shd w:val="clear" w:color="auto" w:fill="auto"/>
          </w:tcPr>
          <w:p>
            <w:r>
              <w:rPr>
                <w:rFonts w:hint="eastAsia"/>
              </w:rPr>
              <w:t>运行证据</w:t>
            </w:r>
          </w:p>
        </w:tc>
        <w:tc>
          <w:tcPr>
            <w:tcW w:w="9328"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rPr>
                      <w:color w:val="000000"/>
                      <w:szCs w:val="21"/>
                    </w:rPr>
                  </w:pPr>
                  <w:r>
                    <w:rPr>
                      <w:rFonts w:hint="eastAsia"/>
                      <w:color w:val="000000"/>
                      <w:szCs w:val="21"/>
                    </w:rPr>
                    <w:t>CCP1：</w:t>
                  </w:r>
                </w:p>
                <w:p>
                  <w:r>
                    <w:rPr>
                      <w:rFonts w:hint="eastAsia"/>
                      <w:color w:val="000000"/>
                      <w:szCs w:val="21"/>
                    </w:rPr>
                    <w:t>原料鱼采购验收</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2"/>
                  </w:pPr>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rPr>
                      <w:color w:val="000000"/>
                      <w:szCs w:val="21"/>
                    </w:rPr>
                  </w:pPr>
                  <w:r>
                    <w:rPr>
                      <w:color w:val="000000"/>
                      <w:szCs w:val="21"/>
                    </w:rPr>
                    <w:t>OPRP1</w:t>
                  </w:r>
                  <w:r>
                    <w:rPr>
                      <w:rFonts w:hint="eastAsia"/>
                      <w:color w:val="000000"/>
                      <w:szCs w:val="21"/>
                    </w:rPr>
                    <w:t>：</w:t>
                  </w:r>
                </w:p>
                <w:p>
                  <w:pPr>
                    <w:pStyle w:val="2"/>
                    <w:rPr>
                      <w:color w:val="000000"/>
                      <w:sz w:val="21"/>
                      <w:szCs w:val="21"/>
                    </w:rPr>
                  </w:pPr>
                  <w:r>
                    <w:rPr>
                      <w:rFonts w:hint="eastAsia"/>
                      <w:color w:val="000000"/>
                      <w:sz w:val="21"/>
                      <w:szCs w:val="21"/>
                    </w:rPr>
                    <w:t>包装过程</w:t>
                  </w:r>
                </w:p>
              </w:tc>
              <w:tc>
                <w:tcPr>
                  <w:tcW w:w="2842" w:type="dxa"/>
                </w:tcPr>
                <w:p>
                  <w:pPr>
                    <w:rPr>
                      <w:color w:val="000000"/>
                      <w:szCs w:val="21"/>
                    </w:rPr>
                  </w:pPr>
                  <w:r>
                    <w:rPr>
                      <w:color w:val="000000"/>
                      <w:szCs w:val="21"/>
                    </w:rPr>
                    <w:sym w:font="Wingdings" w:char="00A8"/>
                  </w:r>
                  <w:r>
                    <w:rPr>
                      <w:rFonts w:hint="eastAsia"/>
                      <w:color w:val="000000"/>
                      <w:szCs w:val="21"/>
                    </w:rPr>
                    <w:t xml:space="preserve">合理        </w:t>
                  </w:r>
                  <w:r>
                    <w:rPr>
                      <w:color w:val="000000"/>
                      <w:szCs w:val="21"/>
                    </w:rPr>
                    <w:sym w:font="Wingdings" w:char="00FE"/>
                  </w:r>
                  <w:r>
                    <w:rPr>
                      <w:rFonts w:hint="eastAsia"/>
                      <w:color w:val="000000"/>
                      <w:szCs w:val="21"/>
                    </w:rPr>
                    <w:t>基本合理</w:t>
                  </w:r>
                </w:p>
                <w:p>
                  <w:pPr>
                    <w:rPr>
                      <w:color w:val="000000"/>
                      <w:szCs w:val="21"/>
                    </w:rPr>
                  </w:pPr>
                  <w:r>
                    <w:rPr>
                      <w:color w:val="000000"/>
                      <w:szCs w:val="21"/>
                    </w:rPr>
                    <w:sym w:font="Wingdings" w:char="00A8"/>
                  </w:r>
                  <w:r>
                    <w:rPr>
                      <w:rFonts w:hint="eastAsia"/>
                      <w:color w:val="000000"/>
                      <w:szCs w:val="21"/>
                    </w:rPr>
                    <w:t>不合理，需改进</w:t>
                  </w:r>
                </w:p>
              </w:tc>
              <w:tc>
                <w:tcPr>
                  <w:tcW w:w="2773" w:type="dxa"/>
                </w:tcPr>
                <w:p>
                  <w:pPr>
                    <w:rPr>
                      <w:color w:val="000000"/>
                      <w:szCs w:val="21"/>
                    </w:rPr>
                  </w:pPr>
                  <w:r>
                    <w:rPr>
                      <w:color w:val="000000"/>
                      <w:szCs w:val="21"/>
                    </w:rPr>
                    <w:sym w:font="Wingdings" w:char="00A8"/>
                  </w:r>
                  <w:r>
                    <w:rPr>
                      <w:rFonts w:hint="eastAsia"/>
                      <w:color w:val="000000"/>
                      <w:szCs w:val="21"/>
                    </w:rPr>
                    <w:t xml:space="preserve">合理        </w:t>
                  </w:r>
                  <w:r>
                    <w:rPr>
                      <w:color w:val="000000"/>
                      <w:szCs w:val="21"/>
                    </w:rPr>
                    <w:sym w:font="Wingdings" w:char="00FE"/>
                  </w:r>
                  <w:r>
                    <w:rPr>
                      <w:rFonts w:hint="eastAsia"/>
                      <w:color w:val="000000"/>
                      <w:szCs w:val="21"/>
                    </w:rPr>
                    <w:t>基本合理</w:t>
                  </w:r>
                </w:p>
                <w:p>
                  <w:pPr>
                    <w:rPr>
                      <w:color w:val="000000"/>
                      <w:szCs w:val="21"/>
                    </w:rPr>
                  </w:pPr>
                  <w:r>
                    <w:rPr>
                      <w:color w:val="000000"/>
                      <w:szCs w:val="21"/>
                    </w:rPr>
                    <w:sym w:font="Wingdings" w:char="00A8"/>
                  </w:r>
                  <w:r>
                    <w:rPr>
                      <w:rFonts w:hint="eastAsia"/>
                      <w:color w:val="000000"/>
                      <w:szCs w:val="21"/>
                    </w:rPr>
                    <w:t>不合理，需改进</w:t>
                  </w:r>
                </w:p>
              </w:tc>
              <w:tc>
                <w:tcPr>
                  <w:tcW w:w="143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rPr>
                      <w:color w:val="000000"/>
                      <w:szCs w:val="21"/>
                    </w:rPr>
                  </w:pPr>
                </w:p>
                <w:p>
                  <w:pPr>
                    <w:pStyle w:val="2"/>
                    <w:rPr>
                      <w:color w:val="000000"/>
                      <w:sz w:val="21"/>
                      <w:szCs w:val="21"/>
                    </w:rPr>
                  </w:pPr>
                </w:p>
              </w:tc>
              <w:tc>
                <w:tcPr>
                  <w:tcW w:w="2842" w:type="dxa"/>
                </w:tcPr>
                <w:p>
                  <w:pPr>
                    <w:rPr>
                      <w:color w:val="000000"/>
                      <w:szCs w:val="21"/>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基本合理</w:t>
                  </w:r>
                </w:p>
                <w:p>
                  <w:pPr>
                    <w:rPr>
                      <w:color w:val="000000"/>
                      <w:szCs w:val="21"/>
                    </w:rPr>
                  </w:pPr>
                  <w:r>
                    <w:rPr>
                      <w:color w:val="000000"/>
                      <w:szCs w:val="21"/>
                    </w:rPr>
                    <w:sym w:font="Wingdings" w:char="00A8"/>
                  </w:r>
                  <w:r>
                    <w:rPr>
                      <w:rFonts w:hint="eastAsia"/>
                      <w:color w:val="000000"/>
                      <w:szCs w:val="21"/>
                    </w:rPr>
                    <w:t>不合理，需改进</w:t>
                  </w:r>
                </w:p>
              </w:tc>
              <w:tc>
                <w:tcPr>
                  <w:tcW w:w="2773" w:type="dxa"/>
                </w:tcPr>
                <w:p>
                  <w:pPr>
                    <w:rPr>
                      <w:color w:val="000000"/>
                      <w:szCs w:val="21"/>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基本合理</w:t>
                  </w:r>
                </w:p>
                <w:p>
                  <w:pPr>
                    <w:rPr>
                      <w:color w:val="000000"/>
                      <w:szCs w:val="21"/>
                    </w:rPr>
                  </w:pPr>
                  <w:r>
                    <w:rPr>
                      <w:color w:val="000000"/>
                      <w:szCs w:val="21"/>
                    </w:rPr>
                    <w:sym w:font="Wingdings" w:char="00A8"/>
                  </w:r>
                  <w:r>
                    <w:rPr>
                      <w:rFonts w:hint="eastAsia"/>
                      <w:color w:val="000000"/>
                      <w:szCs w:val="21"/>
                    </w:rPr>
                    <w:t>不合理，需改进</w:t>
                  </w:r>
                </w:p>
              </w:tc>
              <w:tc>
                <w:tcPr>
                  <w:tcW w:w="1436" w:type="dxa"/>
                </w:tcPr>
                <w:p>
                  <w:pPr>
                    <w:rPr>
                      <w:highlight w:val="yellow"/>
                    </w:rPr>
                  </w:pPr>
                </w:p>
              </w:tc>
            </w:tr>
          </w:tbl>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r>
              <w:rPr>
                <w:rFonts w:hint="eastAsia"/>
              </w:rPr>
              <w:t>组织超出行动限值或行动限值时所采取的纠正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当某个关键限值的监视结果反复发生偏离或偏离原因涉及相应控制措施的控制能力时，食品安全小组应重新评估相关控制措施的有效性和适宜性，必要时对其予以改进并更新，保持纠偏记录。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p>
          <w:p>
            <w:pPr>
              <w:pStyle w:val="2"/>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26" w:hRule="atLeast"/>
        </w:trPr>
        <w:tc>
          <w:tcPr>
            <w:tcW w:w="1788" w:type="dxa"/>
            <w:vMerge w:val="continue"/>
            <w:shd w:val="clear" w:color="auto" w:fill="auto"/>
          </w:tcPr>
          <w:p/>
        </w:tc>
        <w:tc>
          <w:tcPr>
            <w:tcW w:w="1100" w:type="dxa"/>
            <w:gridSpan w:val="2"/>
            <w:shd w:val="clear" w:color="auto" w:fill="auto"/>
          </w:tcPr>
          <w:p>
            <w:r>
              <w:rPr>
                <w:rFonts w:hint="eastAsia"/>
              </w:rPr>
              <w:t>8.5.4.5实施危害控制计划</w:t>
            </w:r>
          </w:p>
        </w:tc>
        <w:tc>
          <w:tcPr>
            <w:tcW w:w="677" w:type="dxa"/>
            <w:shd w:val="clear" w:color="auto" w:fill="auto"/>
          </w:tcPr>
          <w:p>
            <w:r>
              <w:rPr>
                <w:rFonts w:hint="eastAsia"/>
              </w:rPr>
              <w:t>现场查看</w:t>
            </w:r>
          </w:p>
        </w:tc>
        <w:tc>
          <w:tcPr>
            <w:tcW w:w="9328" w:type="dxa"/>
            <w:shd w:val="clear" w:color="auto" w:fill="auto"/>
          </w:tcPr>
          <w:p>
            <w:r>
              <w:rPr>
                <w:rFonts w:hint="eastAsia"/>
              </w:rPr>
              <w:t>OPRP计划的实施情况：“见生产部、质检部审核记录”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HACCP计划的实施情况：“见生产部、质检部审核记录”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PRP和危害控制计划文件的更新</w:t>
            </w:r>
          </w:p>
        </w:tc>
        <w:tc>
          <w:tcPr>
            <w:tcW w:w="1100" w:type="dxa"/>
            <w:gridSpan w:val="2"/>
            <w:vMerge w:val="restart"/>
            <w:shd w:val="clear" w:color="auto" w:fill="auto"/>
          </w:tcPr>
          <w:p>
            <w:r>
              <w:rPr>
                <w:rFonts w:hint="eastAsia"/>
              </w:rPr>
              <w:t>F8.6</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手册8.</w:t>
            </w:r>
            <w:r>
              <w:rPr>
                <w:rFonts w:hint="eastAsia"/>
                <w:lang w:val="en-US" w:eastAsia="zh-CN"/>
              </w:rPr>
              <w:t>6</w:t>
            </w:r>
            <w:r>
              <w:rPr>
                <w:rFonts w:hint="eastAsia"/>
              </w:rPr>
              <w:t xml:space="preserve"> 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制定OPRP计划和（或） HACCP计划后，组织对如下信息进行更新：</w:t>
            </w:r>
          </w:p>
          <w:p>
            <w:r>
              <w:rPr>
                <w:rFonts w:hint="eastAsia"/>
              </w:rPr>
              <w:sym w:font="Wingdings" w:char="00FE"/>
            </w:r>
            <w:r>
              <w:rPr>
                <w:rFonts w:hint="eastAsia"/>
              </w:rPr>
              <w:t>审核周期内未发生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068"/>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变更的内容</w:t>
                  </w:r>
                </w:p>
              </w:tc>
              <w:tc>
                <w:tcPr>
                  <w:tcW w:w="2068"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原料、 辅料和与产品接触材料的特性</w:t>
                  </w:r>
                </w:p>
              </w:tc>
              <w:tc>
                <w:tcPr>
                  <w:tcW w:w="2068"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成品特性</w:t>
                  </w:r>
                </w:p>
              </w:tc>
              <w:tc>
                <w:tcPr>
                  <w:tcW w:w="2068"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预期用途</w:t>
                  </w:r>
                </w:p>
              </w:tc>
              <w:tc>
                <w:tcPr>
                  <w:tcW w:w="2068"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流程图、 工艺步骤和控制措施</w:t>
                  </w:r>
                </w:p>
              </w:tc>
              <w:tc>
                <w:tcPr>
                  <w:tcW w:w="2068"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PRP</w:t>
                  </w:r>
                </w:p>
              </w:tc>
              <w:tc>
                <w:tcPr>
                  <w:tcW w:w="2068"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OPRP计划</w:t>
                  </w:r>
                </w:p>
              </w:tc>
              <w:tc>
                <w:tcPr>
                  <w:tcW w:w="2068"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r>
                    <w:rPr>
                      <w:rFonts w:hint="eastAsia"/>
                    </w:rPr>
                    <w:t>HACCP计划</w:t>
                  </w:r>
                </w:p>
              </w:tc>
              <w:tc>
                <w:tcPr>
                  <w:tcW w:w="2068" w:type="dxa"/>
                </w:tcPr>
                <w:p/>
              </w:tc>
              <w:tc>
                <w:tcPr>
                  <w:tcW w:w="4818"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auto"/>
          </w:tcPr>
          <w:p>
            <w:r>
              <w:rPr>
                <w:rFonts w:hint="eastAsia"/>
              </w:rPr>
              <w:t>与 PRP、危害控制计划有关的验证</w:t>
            </w:r>
          </w:p>
        </w:tc>
        <w:tc>
          <w:tcPr>
            <w:tcW w:w="1100" w:type="dxa"/>
            <w:gridSpan w:val="2"/>
            <w:vMerge w:val="restart"/>
            <w:shd w:val="clear" w:color="auto" w:fill="auto"/>
          </w:tcPr>
          <w:p>
            <w:r>
              <w:rPr>
                <w:rFonts w:hint="eastAsia"/>
              </w:rPr>
              <w:t>F8.8.1</w:t>
            </w: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《确认与验证程序》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组织建立、实施和保持验证活动，策划如下：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控制基本有效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半年一次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控制基本有效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控制基本有效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控制基本有效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《确认与验证程序》的内容包括：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u w:val="single"/>
              </w:rPr>
              <w:t>202</w:t>
            </w:r>
            <w:r>
              <w:rPr>
                <w:u w:val="single"/>
              </w:rPr>
              <w:t>1</w:t>
            </w:r>
            <w:r>
              <w:rPr>
                <w:rFonts w:hint="eastAsia"/>
                <w:u w:val="single"/>
              </w:rPr>
              <w:t>-</w:t>
            </w:r>
            <w:r>
              <w:rPr>
                <w:u w:val="single"/>
              </w:rPr>
              <w:t>10</w:t>
            </w:r>
            <w:r>
              <w:rPr>
                <w:rFonts w:hint="eastAsia"/>
                <w:u w:val="single"/>
              </w:rPr>
              <w:t>-</w:t>
            </w:r>
            <w:r>
              <w:rPr>
                <w:u w:val="single"/>
              </w:rPr>
              <w:t>10</w:t>
            </w:r>
            <w:r>
              <w:rPr>
                <w:rFonts w:hint="eastAsia"/>
                <w:u w:val="single"/>
              </w:rPr>
              <w:t xml:space="preserve"> </w:t>
            </w:r>
            <w:r>
              <w:rPr>
                <w:rFonts w:hint="eastAsia"/>
              </w:rPr>
              <w:t>进行H</w:t>
            </w:r>
            <w:r>
              <w:t>ACCP</w:t>
            </w:r>
            <w:r>
              <w:rPr>
                <w:rFonts w:hint="eastAsia"/>
              </w:rPr>
              <w:t>计划、O</w:t>
            </w:r>
            <w:r>
              <w:t>PRP</w:t>
            </w:r>
            <w:r>
              <w:rPr>
                <w:rFonts w:hint="eastAsia"/>
              </w:rPr>
              <w:t>验证、P</w:t>
            </w:r>
            <w:r>
              <w:t>RP</w:t>
            </w:r>
            <w:r>
              <w:rPr>
                <w:rFonts w:hint="eastAsia"/>
              </w:rPr>
              <w:t>验证，另外包括现有程序、危害分析/操作性前提方案、人力资源管理和培训活动。</w:t>
            </w:r>
          </w:p>
          <w:p>
            <w:pPr>
              <w:pStyle w:val="20"/>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通过日常检查等方式进行检验，详见生产部、质检部审核记录</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通过日常检查等方式进行检验，详见生产部、质检部审核记录</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20"/>
              <w:rPr>
                <w:color w:val="auto"/>
                <w:highlight w:val="none"/>
                <w:u w:val="single"/>
              </w:rPr>
            </w:pPr>
            <w:r>
              <w:rPr>
                <w:rFonts w:hint="eastAsia"/>
                <w:u w:val="single"/>
              </w:rPr>
              <w:t>提供有生产用水的供方检测报告，提供了2</w:t>
            </w:r>
            <w:r>
              <w:rPr>
                <w:u w:val="single"/>
              </w:rPr>
              <w:t>022</w:t>
            </w:r>
            <w:r>
              <w:rPr>
                <w:rFonts w:hint="eastAsia"/>
                <w:u w:val="single"/>
              </w:rPr>
              <w:t>年1月6日安徽海博环境检测有限公司提供的绩溪县自水厂的3</w:t>
            </w:r>
            <w:r>
              <w:rPr>
                <w:u w:val="single"/>
              </w:rPr>
              <w:t>5</w:t>
            </w:r>
            <w:r>
              <w:rPr>
                <w:rFonts w:hint="eastAsia"/>
                <w:u w:val="single"/>
              </w:rPr>
              <w:t>项检测报告</w:t>
            </w:r>
            <w:r>
              <w:rPr>
                <w:rFonts w:hint="eastAsia"/>
                <w:color w:val="auto"/>
                <w:u w:val="single"/>
              </w:rPr>
              <w:t>。</w:t>
            </w:r>
            <w:r>
              <w:rPr>
                <w:rFonts w:hint="eastAsia"/>
                <w:color w:val="auto"/>
                <w:highlight w:val="none"/>
                <w:u w:val="single"/>
              </w:rPr>
              <w:t>组织通过水厂对本公司的生产用水进行定期验证，</w:t>
            </w:r>
            <w:r>
              <w:rPr>
                <w:rFonts w:hint="eastAsia"/>
                <w:color w:val="auto"/>
                <w:highlight w:val="none"/>
                <w:u w:val="single"/>
                <w:lang w:val="en-US" w:eastAsia="zh-CN"/>
              </w:rPr>
              <w:t>提供有2022年3月1日的腌制间用水的水质检测结果，PH:7.84，二氧化氯（mg/L）：0.1，符合GB5749-2006标准的相应指标的要求，但未提供水质检测周期策划，已现场沟通</w:t>
            </w:r>
            <w:r>
              <w:rPr>
                <w:rFonts w:hint="eastAsia"/>
                <w:color w:val="auto"/>
                <w:highlight w:val="none"/>
                <w:u w:val="single"/>
              </w:rPr>
              <w:t>。</w:t>
            </w:r>
          </w:p>
          <w:p>
            <w:pPr>
              <w:pStyle w:val="20"/>
              <w:rPr>
                <w:color w:val="0000FF"/>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r>
              <w:rPr>
                <w:rFonts w:hint="eastAsia"/>
                <w:b/>
                <w:bCs/>
                <w:szCs w:val="21"/>
                <w:u w:val="single"/>
              </w:rPr>
              <w:t xml:space="preserve"> </w:t>
            </w:r>
          </w:p>
          <w:p>
            <w:pPr>
              <w:pStyle w:val="20"/>
              <w:rPr>
                <w:color w:val="0000FF"/>
              </w:rPr>
            </w:pPr>
          </w:p>
          <w:p>
            <w:r>
              <w:rPr>
                <w:rFonts w:hint="eastAsia"/>
              </w:rPr>
              <w:t>验证的结果需要输入到管理评审中，以确保这些重要数据资源能被适当考虑并对整个食品安全管理体系持续改进其作用；</w:t>
            </w:r>
          </w:p>
          <w:p>
            <w:pPr>
              <w:rPr>
                <w:color w:val="0000FF"/>
                <w:u w:val="single"/>
              </w:rPr>
            </w:pPr>
            <w:r>
              <w:rPr>
                <w:rFonts w:hint="eastAsia"/>
              </w:rPr>
              <w:t>见</w:t>
            </w:r>
            <w:r>
              <w:rPr>
                <w:rFonts w:hint="eastAsia"/>
                <w:u w:val="single"/>
              </w:rPr>
              <w:t>管理评审2021年11月20日、验证结果分析报告等；</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p>
          <w:p>
            <w:pPr>
              <w:rPr>
                <w:u w:val="single"/>
              </w:rPr>
            </w:pPr>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Pr>
              <w:adjustRightInd w:val="0"/>
              <w:snapToGrid w:val="0"/>
              <w:spacing w:line="240" w:lineRule="atLeast"/>
            </w:pPr>
            <w:r>
              <w:rPr>
                <w:rFonts w:hint="eastAsia"/>
              </w:rPr>
              <w:t>—《PRP验证记录表》，202</w:t>
            </w:r>
            <w:r>
              <w:t>1</w:t>
            </w:r>
            <w:r>
              <w:rPr>
                <w:rFonts w:hint="eastAsia"/>
              </w:rPr>
              <w:t>-</w:t>
            </w:r>
            <w:r>
              <w:t>10</w:t>
            </w:r>
            <w:r>
              <w:rPr>
                <w:rFonts w:hint="eastAsia"/>
              </w:rPr>
              <w:t>-</w:t>
            </w:r>
            <w:r>
              <w:t>10</w:t>
            </w:r>
            <w:r>
              <w:rPr>
                <w:rFonts w:hint="eastAsia"/>
              </w:rPr>
              <w:t>，结论：前提方案（PRP）的实施达到了预期效果；</w:t>
            </w:r>
          </w:p>
          <w:p>
            <w:pPr>
              <w:adjustRightInd w:val="0"/>
              <w:snapToGrid w:val="0"/>
              <w:spacing w:line="240" w:lineRule="atLeast"/>
            </w:pPr>
            <w:r>
              <w:rPr>
                <w:rFonts w:hint="eastAsia"/>
              </w:rPr>
              <w:t>—《危害控制计划验证记录表》，202</w:t>
            </w:r>
            <w:r>
              <w:t>1</w:t>
            </w:r>
            <w:r>
              <w:rPr>
                <w:rFonts w:hint="eastAsia"/>
              </w:rPr>
              <w:t>-</w:t>
            </w:r>
            <w:r>
              <w:t>10</w:t>
            </w:r>
            <w:r>
              <w:rPr>
                <w:rFonts w:hint="eastAsia"/>
              </w:rPr>
              <w:t>-</w:t>
            </w:r>
            <w:r>
              <w:t>10</w:t>
            </w:r>
            <w:r>
              <w:rPr>
                <w:rFonts w:hint="eastAsia"/>
              </w:rPr>
              <w:t>，结论：HACCP计划的实施达到了预期效果；</w:t>
            </w:r>
          </w:p>
          <w:p>
            <w:pPr>
              <w:pStyle w:val="2"/>
            </w:pP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安徽国科检测科技有限公司 ；</w:t>
            </w:r>
          </w:p>
          <w:p>
            <w:pPr>
              <w:rPr>
                <w:u w:val="single"/>
              </w:rPr>
            </w:pPr>
            <w:r>
              <w:rPr>
                <w:rFonts w:hint="eastAsia"/>
              </w:rPr>
              <w:t>外委验证的内容：</w:t>
            </w:r>
            <w:r>
              <w:rPr>
                <w:rFonts w:hint="eastAsia"/>
                <w:u w:val="single"/>
              </w:rPr>
              <w:t>主要是2</w:t>
            </w:r>
            <w:r>
              <w:rPr>
                <w:u w:val="single"/>
              </w:rPr>
              <w:t>021</w:t>
            </w:r>
            <w:r>
              <w:rPr>
                <w:rFonts w:hint="eastAsia"/>
                <w:u w:val="single"/>
              </w:rPr>
              <w:t>年1</w:t>
            </w:r>
            <w:r>
              <w:rPr>
                <w:u w:val="single"/>
              </w:rPr>
              <w:t>1</w:t>
            </w:r>
            <w:r>
              <w:rPr>
                <w:rFonts w:hint="eastAsia"/>
                <w:u w:val="single"/>
              </w:rPr>
              <w:t>月对成品腌渍鱼（臭鳜鱼、臭鲈鱼）的安全特性指标（包括过氧化值、铅、镉、铬、甲基汞、多氯联苯、甜蜜素、糖精钠、日落黄、沙门氏菌、菌落总数、挥发性盐基氮等2</w:t>
            </w:r>
            <w:r>
              <w:rPr>
                <w:u w:val="single"/>
              </w:rPr>
              <w:t>3</w:t>
            </w:r>
            <w:r>
              <w:rPr>
                <w:rFonts w:hint="eastAsia"/>
                <w:u w:val="single"/>
              </w:rPr>
              <w:t>个项目）；</w:t>
            </w:r>
          </w:p>
          <w:p>
            <w:pPr>
              <w:pStyle w:val="2"/>
            </w:pPr>
            <w:r>
              <w:rPr>
                <w:rFonts w:hint="eastAsia"/>
                <w:sz w:val="21"/>
                <w:szCs w:val="21"/>
              </w:rPr>
              <w:t>应定期对食品安全管理体系充分性进行评审，适用时进行重新评审。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验证活动结果的分析</w:t>
            </w:r>
          </w:p>
        </w:tc>
        <w:tc>
          <w:tcPr>
            <w:tcW w:w="1100" w:type="dxa"/>
            <w:gridSpan w:val="2"/>
            <w:vMerge w:val="restart"/>
            <w:shd w:val="clear" w:color="auto" w:fill="auto"/>
          </w:tcPr>
          <w:p>
            <w:r>
              <w:rPr>
                <w:rFonts w:hint="eastAsia"/>
              </w:rPr>
              <w:t>F8.8.2</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《确认与验证程序》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食品安全小组对验证结果进行分析，并将其作为食品安全管理体系绩效评估的输入</w:t>
            </w:r>
          </w:p>
          <w:p>
            <w:pPr>
              <w:pStyle w:val="2"/>
              <w:rPr>
                <w:sz w:val="21"/>
                <w:szCs w:val="20"/>
              </w:rPr>
            </w:pPr>
            <w:r>
              <w:rPr>
                <w:rFonts w:hint="eastAsia"/>
                <w:sz w:val="21"/>
                <w:szCs w:val="20"/>
              </w:rPr>
              <w:t>《单项验证结果评价记录》，2</w:t>
            </w:r>
            <w:r>
              <w:rPr>
                <w:sz w:val="21"/>
                <w:szCs w:val="20"/>
              </w:rPr>
              <w:t>021</w:t>
            </w:r>
            <w:r>
              <w:rPr>
                <w:rFonts w:hint="eastAsia"/>
                <w:sz w:val="21"/>
                <w:szCs w:val="20"/>
              </w:rPr>
              <w:t>-</w:t>
            </w:r>
            <w:r>
              <w:rPr>
                <w:sz w:val="21"/>
                <w:szCs w:val="20"/>
              </w:rPr>
              <w:t>10</w:t>
            </w:r>
            <w:r>
              <w:rPr>
                <w:rFonts w:hint="eastAsia"/>
                <w:sz w:val="21"/>
                <w:szCs w:val="20"/>
              </w:rPr>
              <w:t>-</w:t>
            </w:r>
            <w:r>
              <w:rPr>
                <w:sz w:val="21"/>
                <w:szCs w:val="20"/>
              </w:rPr>
              <w:t>10</w:t>
            </w:r>
            <w:r>
              <w:rPr>
                <w:rFonts w:hint="eastAsia"/>
                <w:sz w:val="21"/>
                <w:szCs w:val="20"/>
              </w:rPr>
              <w:t>，针对现有程序和沟通渠道、危害分析/O</w:t>
            </w:r>
            <w:r>
              <w:rPr>
                <w:sz w:val="21"/>
                <w:szCs w:val="20"/>
              </w:rPr>
              <w:t>PRP/HACCP</w:t>
            </w:r>
            <w:r>
              <w:rPr>
                <w:rFonts w:hint="eastAsia"/>
                <w:sz w:val="21"/>
                <w:szCs w:val="20"/>
              </w:rPr>
              <w:t>计划、前提方案、人力资源管理和培训活动等均进行了评价；</w:t>
            </w:r>
          </w:p>
          <w:p>
            <w:pPr>
              <w:adjustRightInd w:val="0"/>
              <w:snapToGrid w:val="0"/>
              <w:spacing w:line="240" w:lineRule="atLeast"/>
            </w:pPr>
            <w:r>
              <w:rPr>
                <w:rFonts w:hint="eastAsia"/>
              </w:rPr>
              <w:t>《验证结果分析报告》，202</w:t>
            </w:r>
            <w:r>
              <w:t>1</w:t>
            </w:r>
            <w:r>
              <w:rPr>
                <w:rFonts w:hint="eastAsia"/>
              </w:rPr>
              <w:t>-</w:t>
            </w:r>
            <w:r>
              <w:t>10</w:t>
            </w:r>
            <w:r>
              <w:rPr>
                <w:rFonts w:hint="eastAsia"/>
              </w:rPr>
              <w:t>-</w:t>
            </w:r>
            <w:r>
              <w:t>10</w:t>
            </w:r>
            <w:r>
              <w:rPr>
                <w:rFonts w:hint="eastAsia"/>
              </w:rPr>
              <w:t>，结论：公司食品安全管理体系的整体运行满足策划的安排和要求；体系运行有效。</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468" w:hRule="atLeast"/>
        </w:trPr>
        <w:tc>
          <w:tcPr>
            <w:tcW w:w="1788" w:type="dxa"/>
            <w:vMerge w:val="restart"/>
          </w:tcPr>
          <w:p>
            <w:r>
              <w:rPr>
                <w:rFonts w:hint="eastAsia"/>
              </w:rPr>
              <w:t>可追溯性</w:t>
            </w:r>
          </w:p>
        </w:tc>
        <w:tc>
          <w:tcPr>
            <w:tcW w:w="1089" w:type="dxa"/>
            <w:vMerge w:val="restart"/>
          </w:tcPr>
          <w:p>
            <w:r>
              <w:rPr>
                <w:rFonts w:hint="eastAsia"/>
              </w:rPr>
              <w:t>F8.3</w:t>
            </w:r>
          </w:p>
        </w:tc>
        <w:tc>
          <w:tcPr>
            <w:tcW w:w="688" w:type="dxa"/>
            <w:gridSpan w:val="2"/>
          </w:tcPr>
          <w:p>
            <w:r>
              <w:rPr>
                <w:rFonts w:hint="eastAsia"/>
              </w:rPr>
              <w:t>文件名称</w:t>
            </w:r>
          </w:p>
        </w:tc>
        <w:tc>
          <w:tcPr>
            <w:tcW w:w="9328" w:type="dxa"/>
          </w:tcPr>
          <w:p>
            <w:r>
              <w:rPr>
                <w:rFonts w:hint="eastAsia"/>
              </w:rPr>
              <w:sym w:font="Wingdings" w:char="00A8"/>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标识和可追溯性控制程序</w:t>
            </w:r>
            <w:r>
              <w:rPr>
                <w:rFonts w:hint="eastAsia"/>
              </w:rPr>
              <w:t>》、</w:t>
            </w:r>
            <w:r>
              <w:rPr>
                <w:rFonts w:hint="eastAsia"/>
              </w:rPr>
              <w:sym w:font="Wingdings" w:char="00A8"/>
            </w:r>
            <w:r>
              <w:rPr>
                <w:rFonts w:hint="eastAsia"/>
              </w:rPr>
              <w:t>《配送中心安全控制措施》</w:t>
            </w:r>
          </w:p>
        </w:tc>
        <w:tc>
          <w:tcPr>
            <w:tcW w:w="1553" w:type="dxa"/>
            <w:vMerge w:val="restart"/>
          </w:tcPr>
          <w:p>
            <w:r>
              <w:rPr>
                <w:rFonts w:hint="eastAsia"/>
              </w:rPr>
              <w:sym w:font="Wingdings" w:char="00FE"/>
            </w:r>
            <w:r>
              <w:rPr>
                <w:rFonts w:hint="eastAsia"/>
              </w:rPr>
              <w:t>符合</w:t>
            </w:r>
          </w:p>
          <w:p>
            <w:pPr>
              <w:pStyle w:val="2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4078" w:hRule="atLeast"/>
        </w:trPr>
        <w:tc>
          <w:tcPr>
            <w:tcW w:w="1788" w:type="dxa"/>
            <w:vMerge w:val="continue"/>
          </w:tcPr>
          <w:p/>
        </w:tc>
        <w:tc>
          <w:tcPr>
            <w:tcW w:w="1089" w:type="dxa"/>
            <w:vMerge w:val="continue"/>
          </w:tcPr>
          <w:p/>
        </w:tc>
        <w:tc>
          <w:tcPr>
            <w:tcW w:w="688" w:type="dxa"/>
            <w:gridSpan w:val="2"/>
          </w:tcPr>
          <w:p>
            <w:r>
              <w:rPr>
                <w:rFonts w:hint="eastAsia"/>
              </w:rPr>
              <w:t>运行证据</w:t>
            </w:r>
          </w:p>
        </w:tc>
        <w:tc>
          <w:tcPr>
            <w:tcW w:w="9328"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p>
          <w:p/>
          <w:p>
            <w:r>
              <w:t xml:space="preserve">半成品的唯一性标识方式： </w:t>
            </w:r>
          </w:p>
          <w:p>
            <w:r>
              <w:rPr/>
              <w:sym w:font="Wingdings" w:char="00A8"/>
            </w:r>
            <w:r>
              <w:t>容器编号</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FE"/>
            </w:r>
            <w:r>
              <w:t>其他</w:t>
            </w:r>
            <w:r>
              <w:rPr>
                <w:rFonts w:hint="eastAsia"/>
              </w:rPr>
              <w:t>—生产日期</w:t>
            </w:r>
          </w:p>
          <w:p>
            <w:pPr>
              <w:pStyle w:val="20"/>
            </w:pPr>
          </w:p>
          <w:p>
            <w:pPr>
              <w:rPr>
                <w:highlight w:val="yellow"/>
              </w:rPr>
            </w:pPr>
            <w:r>
              <w:rPr>
                <w:rFonts w:hint="eastAsia"/>
                <w:highlight w:val="yellow"/>
              </w:rPr>
              <w:t>组织于</w:t>
            </w:r>
            <w:r>
              <w:rPr>
                <w:rFonts w:hint="eastAsia"/>
                <w:szCs w:val="21"/>
                <w:highlight w:val="yellow"/>
                <w:u w:val="single"/>
              </w:rPr>
              <w:t xml:space="preserve">  2022 </w:t>
            </w:r>
            <w:r>
              <w:rPr>
                <w:rFonts w:hint="eastAsia"/>
                <w:szCs w:val="21"/>
                <w:highlight w:val="yellow"/>
              </w:rPr>
              <w:t>年</w:t>
            </w:r>
            <w:r>
              <w:rPr>
                <w:rFonts w:hint="eastAsia"/>
                <w:szCs w:val="21"/>
                <w:highlight w:val="yellow"/>
                <w:u w:val="single"/>
              </w:rPr>
              <w:t xml:space="preserve">1 </w:t>
            </w:r>
            <w:r>
              <w:rPr>
                <w:rFonts w:hint="eastAsia"/>
                <w:szCs w:val="21"/>
                <w:highlight w:val="yellow"/>
              </w:rPr>
              <w:t>月</w:t>
            </w:r>
            <w:r>
              <w:rPr>
                <w:rFonts w:hint="eastAsia"/>
                <w:szCs w:val="21"/>
                <w:highlight w:val="yellow"/>
                <w:u w:val="single"/>
              </w:rPr>
              <w:t xml:space="preserve"> 1</w:t>
            </w:r>
            <w:r>
              <w:rPr>
                <w:szCs w:val="21"/>
                <w:highlight w:val="yellow"/>
                <w:u w:val="single"/>
              </w:rPr>
              <w:t>8</w:t>
            </w:r>
            <w:r>
              <w:rPr>
                <w:rFonts w:hint="eastAsia"/>
                <w:szCs w:val="21"/>
                <w:highlight w:val="yellow"/>
                <w:u w:val="single"/>
              </w:rPr>
              <w:t xml:space="preserve"> </w:t>
            </w:r>
            <w:r>
              <w:rPr>
                <w:rFonts w:hint="eastAsia"/>
                <w:szCs w:val="21"/>
                <w:highlight w:val="yellow"/>
              </w:rPr>
              <w:t>日</w:t>
            </w:r>
            <w:r>
              <w:rPr>
                <w:rFonts w:hint="eastAsia"/>
                <w:highlight w:val="yellow"/>
              </w:rPr>
              <w:t>验证和测试可追溯性体系的有效性。</w:t>
            </w:r>
          </w:p>
          <w:p>
            <w:pPr>
              <w:rPr>
                <w:highlight w:val="yellow"/>
              </w:rPr>
            </w:pPr>
            <w:r>
              <w:rPr>
                <w:highlight w:val="yellow"/>
              </w:rPr>
              <w:t>追溯</w:t>
            </w:r>
            <w:r>
              <w:rPr>
                <w:rFonts w:hint="eastAsia"/>
                <w:highlight w:val="yellow"/>
              </w:rPr>
              <w:t>原因：</w:t>
            </w:r>
            <w:r>
              <w:rPr>
                <w:rFonts w:hint="eastAsia"/>
                <w:highlight w:val="yellow"/>
              </w:rPr>
              <w:sym w:font="Wingdings" w:char="00FE"/>
            </w:r>
            <w:r>
              <w:rPr>
                <w:rFonts w:hint="eastAsia"/>
                <w:highlight w:val="yellow"/>
              </w:rPr>
              <w:t xml:space="preserve">演练  </w:t>
            </w:r>
            <w:r>
              <w:rPr>
                <w:rFonts w:hint="eastAsia"/>
                <w:highlight w:val="yellow"/>
              </w:rPr>
              <w:sym w:font="Wingdings" w:char="00A8"/>
            </w:r>
            <w:r>
              <w:rPr>
                <w:rFonts w:hint="eastAsia"/>
                <w:highlight w:val="yellow"/>
              </w:rPr>
              <w:t xml:space="preserve">质量事故 </w:t>
            </w:r>
            <w:r>
              <w:rPr>
                <w:rFonts w:hint="eastAsia"/>
                <w:highlight w:val="yellow"/>
              </w:rPr>
              <w:sym w:font="Wingdings" w:char="00A8"/>
            </w:r>
            <w:r>
              <w:rPr>
                <w:rFonts w:hint="eastAsia"/>
                <w:highlight w:val="yellow"/>
              </w:rPr>
              <w:t xml:space="preserve">顾客投诉  </w:t>
            </w:r>
            <w:r>
              <w:rPr>
                <w:rFonts w:hint="eastAsia"/>
                <w:highlight w:val="yellow"/>
              </w:rPr>
              <w:sym w:font="Wingdings" w:char="00A8"/>
            </w:r>
            <w:r>
              <w:rPr>
                <w:rFonts w:hint="eastAsia"/>
                <w:highlight w:val="yellow"/>
              </w:rPr>
              <w:t>市场抽查不合格</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highlight w:val="yellow"/>
                    </w:rPr>
                  </w:pPr>
                  <w:r>
                    <w:rPr>
                      <w:rFonts w:hint="eastAsia"/>
                      <w:highlight w:val="yellow"/>
                    </w:rPr>
                    <w:t>产品批号</w:t>
                  </w:r>
                </w:p>
              </w:tc>
              <w:tc>
                <w:tcPr>
                  <w:tcW w:w="1550" w:type="dxa"/>
                </w:tcPr>
                <w:p>
                  <w:pPr>
                    <w:rPr>
                      <w:highlight w:val="yellow"/>
                    </w:rPr>
                  </w:pPr>
                  <w:r>
                    <w:rPr>
                      <w:rFonts w:hint="eastAsia"/>
                      <w:highlight w:val="yellow"/>
                    </w:rPr>
                    <w:t>不合格简述</w:t>
                  </w:r>
                </w:p>
              </w:tc>
              <w:tc>
                <w:tcPr>
                  <w:tcW w:w="1360" w:type="dxa"/>
                </w:tcPr>
                <w:p>
                  <w:pPr>
                    <w:rPr>
                      <w:highlight w:val="yellow"/>
                    </w:rPr>
                  </w:pPr>
                  <w:r>
                    <w:rPr>
                      <w:highlight w:val="yellow"/>
                    </w:rPr>
                    <w:t>生产记录</w:t>
                  </w:r>
                  <w:r>
                    <w:rPr>
                      <w:rFonts w:hint="eastAsia"/>
                      <w:highlight w:val="yellow"/>
                    </w:rPr>
                    <w:t>情况</w:t>
                  </w:r>
                </w:p>
              </w:tc>
              <w:tc>
                <w:tcPr>
                  <w:tcW w:w="1160" w:type="dxa"/>
                </w:tcPr>
                <w:p>
                  <w:pPr>
                    <w:rPr>
                      <w:highlight w:val="yellow"/>
                    </w:rPr>
                  </w:pPr>
                  <w:r>
                    <w:rPr>
                      <w:highlight w:val="yellow"/>
                    </w:rPr>
                    <w:t>检验记录</w:t>
                  </w:r>
                  <w:r>
                    <w:rPr>
                      <w:rFonts w:hint="eastAsia"/>
                      <w:highlight w:val="yellow"/>
                    </w:rPr>
                    <w:t>情况</w:t>
                  </w:r>
                </w:p>
              </w:tc>
              <w:tc>
                <w:tcPr>
                  <w:tcW w:w="1430" w:type="dxa"/>
                </w:tcPr>
                <w:p>
                  <w:pPr>
                    <w:rPr>
                      <w:highlight w:val="yellow"/>
                    </w:rPr>
                  </w:pPr>
                  <w:r>
                    <w:rPr>
                      <w:highlight w:val="yellow"/>
                    </w:rPr>
                    <w:t>采购记录</w:t>
                  </w:r>
                  <w:r>
                    <w:rPr>
                      <w:rFonts w:hint="eastAsia"/>
                      <w:highlight w:val="yellow"/>
                    </w:rPr>
                    <w:t>情况</w:t>
                  </w:r>
                </w:p>
              </w:tc>
              <w:tc>
                <w:tcPr>
                  <w:tcW w:w="1220" w:type="dxa"/>
                </w:tcPr>
                <w:p>
                  <w:pPr>
                    <w:rPr>
                      <w:highlight w:val="yellow"/>
                    </w:rPr>
                  </w:pPr>
                  <w:r>
                    <w:rPr>
                      <w:highlight w:val="yellow"/>
                    </w:rPr>
                    <w:t>产品留样</w:t>
                  </w:r>
                  <w:r>
                    <w:rPr>
                      <w:rFonts w:hint="eastAsia"/>
                      <w:highlight w:val="yellow"/>
                    </w:rPr>
                    <w:t>确认</w:t>
                  </w:r>
                </w:p>
              </w:tc>
              <w:tc>
                <w:tcPr>
                  <w:tcW w:w="1320" w:type="dxa"/>
                </w:tcPr>
                <w:p>
                  <w:pPr>
                    <w:rPr>
                      <w:highlight w:val="yellow"/>
                    </w:rPr>
                  </w:pPr>
                  <w:r>
                    <w:rPr>
                      <w:highlight w:val="yellow"/>
                    </w:rPr>
                    <w:t>销售记录</w:t>
                  </w:r>
                  <w:r>
                    <w:rPr>
                      <w:rFonts w:hint="eastAsia"/>
                      <w:highlight w:val="yellow"/>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highlight w:val="yellow"/>
                    </w:rPr>
                  </w:pPr>
                  <w:r>
                    <w:rPr>
                      <w:rFonts w:hint="eastAsia"/>
                      <w:highlight w:val="yellow"/>
                    </w:rPr>
                    <w:t>2022011</w:t>
                  </w:r>
                  <w:r>
                    <w:rPr>
                      <w:highlight w:val="yellow"/>
                    </w:rPr>
                    <w:t>8</w:t>
                  </w:r>
                </w:p>
              </w:tc>
              <w:tc>
                <w:tcPr>
                  <w:tcW w:w="1550" w:type="dxa"/>
                </w:tcPr>
                <w:p>
                  <w:pPr>
                    <w:rPr>
                      <w:highlight w:val="yellow"/>
                    </w:rPr>
                  </w:pPr>
                  <w:r>
                    <w:rPr>
                      <w:rFonts w:hint="eastAsia"/>
                      <w:highlight w:val="yellow"/>
                    </w:rPr>
                    <w:t>2022年1月18日9:00，售后部接到某酒店反馈，有消费者投诉吃了我厂生产批号为20211120的臭鳜鱼，发生呕吐，拉肚子现象。</w:t>
                  </w:r>
                </w:p>
              </w:tc>
              <w:tc>
                <w:tcPr>
                  <w:tcW w:w="1360" w:type="dxa"/>
                </w:tcPr>
                <w:p>
                  <w:pPr>
                    <w:rPr>
                      <w:highlight w:val="yellow"/>
                    </w:rPr>
                  </w:pPr>
                  <w:r>
                    <w:rPr>
                      <w:rFonts w:hint="eastAsia"/>
                      <w:highlight w:val="yellow"/>
                    </w:rPr>
                    <w:t>2022011</w:t>
                  </w:r>
                  <w:r>
                    <w:rPr>
                      <w:highlight w:val="yellow"/>
                    </w:rPr>
                    <w:t>8</w:t>
                  </w:r>
                </w:p>
              </w:tc>
              <w:tc>
                <w:tcPr>
                  <w:tcW w:w="1160" w:type="dxa"/>
                </w:tcPr>
                <w:p>
                  <w:pPr>
                    <w:rPr>
                      <w:highlight w:val="yellow"/>
                    </w:rPr>
                  </w:pPr>
                  <w:r>
                    <w:rPr>
                      <w:rFonts w:hint="eastAsia"/>
                      <w:highlight w:val="yellow"/>
                    </w:rPr>
                    <w:t>2022011</w:t>
                  </w:r>
                  <w:r>
                    <w:rPr>
                      <w:highlight w:val="yellow"/>
                    </w:rPr>
                    <w:t>8</w:t>
                  </w:r>
                </w:p>
              </w:tc>
              <w:tc>
                <w:tcPr>
                  <w:tcW w:w="1430" w:type="dxa"/>
                </w:tcPr>
                <w:p>
                  <w:pPr>
                    <w:rPr>
                      <w:highlight w:val="yellow"/>
                    </w:rPr>
                  </w:pPr>
                  <w:r>
                    <w:rPr>
                      <w:rFonts w:hint="eastAsia"/>
                      <w:highlight w:val="yellow"/>
                    </w:rPr>
                    <w:t>未明确</w:t>
                  </w:r>
                </w:p>
              </w:tc>
              <w:tc>
                <w:tcPr>
                  <w:tcW w:w="1220" w:type="dxa"/>
                </w:tcPr>
                <w:p>
                  <w:pPr>
                    <w:rPr>
                      <w:highlight w:val="yellow"/>
                    </w:rPr>
                  </w:pPr>
                  <w:r>
                    <w:rPr>
                      <w:rFonts w:hint="eastAsia"/>
                      <w:highlight w:val="yellow"/>
                    </w:rPr>
                    <w:t>已确认</w:t>
                  </w:r>
                </w:p>
              </w:tc>
              <w:tc>
                <w:tcPr>
                  <w:tcW w:w="1320" w:type="dxa"/>
                </w:tcPr>
                <w:p>
                  <w:r>
                    <w:rPr>
                      <w:rFonts w:hint="eastAsia"/>
                      <w:highlight w:val="yellow"/>
                    </w:rPr>
                    <w:t>全部回收</w:t>
                  </w:r>
                </w:p>
              </w:tc>
            </w:tr>
          </w:tbl>
          <w:p>
            <w:pPr>
              <w:pStyle w:val="2"/>
            </w:pPr>
            <w:r>
              <w:rPr>
                <w:rFonts w:hint="eastAsia"/>
              </w:rPr>
              <w:t xml:space="preserve"> </w:t>
            </w:r>
            <w:r>
              <w:rPr>
                <w:rFonts w:hint="eastAsia"/>
                <w:sz w:val="21"/>
                <w:szCs w:val="21"/>
                <w:highlight w:val="yellow"/>
              </w:rPr>
              <w:t>未对追溯过程的采购、生产、检验、销售过程等原始记录进行保留，已现场沟通。另外，现场抽取</w:t>
            </w:r>
            <w:r>
              <w:rPr>
                <w:rFonts w:hint="eastAsia"/>
                <w:sz w:val="21"/>
                <w:szCs w:val="21"/>
              </w:rPr>
              <w:t>2</w:t>
            </w:r>
            <w:r>
              <w:rPr>
                <w:sz w:val="21"/>
                <w:szCs w:val="21"/>
              </w:rPr>
              <w:t>022.1.10</w:t>
            </w:r>
            <w:r>
              <w:rPr>
                <w:rFonts w:hint="eastAsia"/>
                <w:sz w:val="21"/>
                <w:szCs w:val="21"/>
              </w:rPr>
              <w:t>包装的臭鳜鱼产品（</w:t>
            </w:r>
            <w:r>
              <w:rPr>
                <w:sz w:val="21"/>
                <w:szCs w:val="21"/>
              </w:rPr>
              <w:t>800</w:t>
            </w:r>
            <w:r>
              <w:rPr>
                <w:rFonts w:hint="eastAsia"/>
                <w:sz w:val="21"/>
                <w:szCs w:val="21"/>
              </w:rPr>
              <w:t>袋）进行追溯了，提供了2</w:t>
            </w:r>
            <w:r>
              <w:rPr>
                <w:sz w:val="21"/>
                <w:szCs w:val="21"/>
              </w:rPr>
              <w:t>022.1.4</w:t>
            </w:r>
            <w:r>
              <w:rPr>
                <w:rFonts w:hint="eastAsia"/>
                <w:sz w:val="21"/>
                <w:szCs w:val="21"/>
              </w:rPr>
              <w:t>清洗、宰杀、腌制的相关证据，提供了2</w:t>
            </w:r>
            <w:r>
              <w:rPr>
                <w:sz w:val="21"/>
                <w:szCs w:val="21"/>
              </w:rPr>
              <w:t>021.12.9</w:t>
            </w:r>
            <w:r>
              <w:rPr>
                <w:rFonts w:hint="eastAsia"/>
                <w:sz w:val="21"/>
                <w:szCs w:val="21"/>
              </w:rPr>
              <w:t>进货的采购相关信息，有基本的追溯链信息，但有部分过程证据，如清洗消毒、人员管理、设备维护保养等证据未能及时提供，今后可进一步加强追溯系统的管理，现场沟通。</w:t>
            </w:r>
          </w:p>
          <w:p>
            <w:pPr>
              <w:pStyle w:val="2"/>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1</w:t>
            </w:r>
            <w:r>
              <w:rPr>
                <w:u w:val="single"/>
              </w:rPr>
              <w:t>2</w:t>
            </w:r>
            <w:r>
              <w:rPr>
                <w:rFonts w:hint="eastAsia"/>
                <w:u w:val="single"/>
              </w:rPr>
              <w:t xml:space="preserve">个月 </w:t>
            </w:r>
            <w:r>
              <w:rPr>
                <w:rFonts w:hint="eastAsia"/>
              </w:rPr>
              <w:t>。</w:t>
            </w:r>
          </w:p>
          <w:p/>
          <w:p>
            <w:r>
              <w:rPr>
                <w:rFonts w:hint="eastAsia"/>
              </w:rPr>
              <w:t>产品留样（适用时）</w:t>
            </w:r>
          </w:p>
          <w:p>
            <w:r>
              <w:rPr>
                <w:rFonts w:hint="eastAsia"/>
              </w:rPr>
              <w:t>抽查产品留样记录：见质检部审核记录。</w:t>
            </w:r>
          </w:p>
          <w:tbl>
            <w:tblPr>
              <w:tblStyle w:val="8"/>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r>
                    <w:rPr>
                      <w:rFonts w:hint="eastAsia"/>
                    </w:rPr>
                    <w:t>规格</w:t>
                  </w:r>
                </w:p>
              </w:tc>
              <w:tc>
                <w:tcPr>
                  <w:tcW w:w="2320"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tcPr>
          <w:p>
            <w:pPr>
              <w:rPr>
                <w:highlight w:val="yellow"/>
              </w:rPr>
            </w:pPr>
          </w:p>
        </w:tc>
        <w:tc>
          <w:tcPr>
            <w:tcW w:w="1089" w:type="dxa"/>
            <w:vMerge w:val="continue"/>
          </w:tcPr>
          <w:p>
            <w:pPr>
              <w:rPr>
                <w:highlight w:val="yellow"/>
              </w:rPr>
            </w:pPr>
          </w:p>
        </w:tc>
        <w:tc>
          <w:tcPr>
            <w:tcW w:w="688" w:type="dxa"/>
            <w:gridSpan w:val="2"/>
            <w:tcMar>
              <w:left w:w="28" w:type="dxa"/>
              <w:right w:w="28" w:type="dxa"/>
            </w:tcMar>
          </w:tcPr>
          <w:p>
            <w:r>
              <w:rPr>
                <w:rFonts w:hint="eastAsia"/>
              </w:rPr>
              <w:t>现场观察</w:t>
            </w:r>
          </w:p>
          <w:p>
            <w:pPr>
              <w:pStyle w:val="2"/>
            </w:pPr>
            <w:r>
              <w:rPr>
                <w:rFonts w:hint="eastAsia"/>
              </w:rPr>
              <w:t>（详见生产部审核记录）</w:t>
            </w:r>
          </w:p>
        </w:tc>
        <w:tc>
          <w:tcPr>
            <w:tcW w:w="9328"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ind w:left="0"/>
              <w:rPr>
                <w:u w:val="single"/>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 xml:space="preserve">： </w:t>
            </w:r>
            <w:r>
              <w:rPr>
                <w:u w:val="single"/>
              </w:rPr>
              <w:t xml:space="preserve"> </w:t>
            </w:r>
          </w:p>
          <w:p>
            <w:pPr>
              <w:rPr>
                <w:u w:val="sing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 xml:space="preserve"> </w:t>
            </w:r>
          </w:p>
          <w:p>
            <w:pPr>
              <w:rPr>
                <w:u w:val="single"/>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不适宜说明：不涉及</w:t>
            </w:r>
          </w:p>
          <w:p>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tc>
        <w:tc>
          <w:tcPr>
            <w:tcW w:w="1553"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tcPr>
          <w:p>
            <w:r>
              <w:rPr>
                <w:rFonts w:hint="eastAsia"/>
              </w:rPr>
              <w:t>撤回/召回</w:t>
            </w:r>
          </w:p>
        </w:tc>
        <w:tc>
          <w:tcPr>
            <w:tcW w:w="1100" w:type="dxa"/>
            <w:gridSpan w:val="2"/>
            <w:vMerge w:val="restart"/>
          </w:tcPr>
          <w:p>
            <w:r>
              <w:rPr>
                <w:rFonts w:hint="eastAsia"/>
              </w:rPr>
              <w:t>F</w:t>
            </w:r>
            <w:r>
              <w:t>8.9.5</w:t>
            </w:r>
          </w:p>
        </w:tc>
        <w:tc>
          <w:tcPr>
            <w:tcW w:w="677" w:type="dxa"/>
          </w:tcPr>
          <w:p>
            <w:r>
              <w:rPr>
                <w:rFonts w:hint="eastAsia"/>
              </w:rPr>
              <w:t>文件名称</w:t>
            </w:r>
          </w:p>
        </w:tc>
        <w:tc>
          <w:tcPr>
            <w:tcW w:w="9328" w:type="dxa"/>
          </w:tcPr>
          <w:p>
            <w:pPr>
              <w:spacing w:line="480" w:lineRule="exact"/>
            </w:pPr>
            <w:r>
              <w:rPr>
                <w:rFonts w:hint="eastAsia"/>
              </w:rPr>
              <w:sym w:font="Wingdings" w:char="00FE"/>
            </w:r>
            <w:r>
              <w:rPr>
                <w:rFonts w:hint="eastAsia"/>
              </w:rPr>
              <w:t>《产品召回/撤回控制程序》、</w:t>
            </w:r>
            <w:r>
              <w:rPr>
                <w:rFonts w:hint="eastAsia"/>
              </w:rPr>
              <w:sym w:font="Wingdings" w:char="00A8"/>
            </w:r>
            <w:r>
              <w:rPr>
                <w:rFonts w:hint="eastAsia"/>
              </w:rPr>
              <w:t>《食品召回控制程序》</w:t>
            </w:r>
          </w:p>
        </w:tc>
        <w:tc>
          <w:tcPr>
            <w:tcW w:w="1553"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1590"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有权决定撤回/召回人员：</w:t>
            </w:r>
            <w:r>
              <w:rPr>
                <w:rFonts w:hint="eastAsia"/>
                <w:u w:val="single"/>
              </w:rPr>
              <w:t xml:space="preserve">   总经理杨鹏华，食品安全小组组长方美红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综合办</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综合办</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.0</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18</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asciiTheme="minorEastAsia" w:hAnsiTheme="minorEastAsia" w:eastAsiaTheme="minorEastAsia"/>
                      <w:szCs w:val="21"/>
                    </w:rPr>
                  </w:pPr>
                  <w:r>
                    <w:rPr>
                      <w:rFonts w:hint="eastAsia"/>
                    </w:rPr>
                    <w:t>2022年1月18日9:00，售后部接到某酒店反馈，有消费者投诉吃了我厂生产批号为20211120的臭鳜鱼，发生呕吐，拉肚子现象。</w:t>
                  </w:r>
                </w:p>
              </w:tc>
              <w:tc>
                <w:tcPr>
                  <w:tcW w:w="1927" w:type="dxa"/>
                  <w:shd w:val="clear" w:color="auto" w:fill="auto"/>
                </w:tcPr>
                <w:p>
                  <w:pPr>
                    <w:rPr>
                      <w:rFonts w:asciiTheme="minorEastAsia" w:hAnsiTheme="minorEastAsia"/>
                      <w:szCs w:val="21"/>
                    </w:rPr>
                  </w:pPr>
                  <w:r>
                    <w:rPr>
                      <w:rFonts w:hint="eastAsia"/>
                    </w:rPr>
                    <w:t>生产日期为2</w:t>
                  </w:r>
                  <w:r>
                    <w:t>021. 11.20</w:t>
                  </w:r>
                  <w:r>
                    <w:rPr>
                      <w:rFonts w:hint="eastAsia"/>
                    </w:rPr>
                    <w:t>的臭鳜鱼</w:t>
                  </w:r>
                </w:p>
              </w:tc>
              <w:tc>
                <w:tcPr>
                  <w:tcW w:w="1518" w:type="dxa"/>
                  <w:shd w:val="clear" w:color="auto" w:fill="auto"/>
                </w:tcPr>
                <w:p>
                  <w:pPr>
                    <w:rPr>
                      <w:rFonts w:ascii="宋体" w:hAnsi="宋体"/>
                      <w:sz w:val="18"/>
                      <w:szCs w:val="18"/>
                    </w:rPr>
                  </w:pPr>
                  <w:r>
                    <w:rPr>
                      <w:rFonts w:hint="eastAsia" w:ascii="宋体" w:hAnsi="宋体"/>
                      <w:sz w:val="18"/>
                      <w:szCs w:val="18"/>
                    </w:rPr>
                    <w:t>全部撤回</w:t>
                  </w:r>
                </w:p>
              </w:tc>
              <w:tc>
                <w:tcPr>
                  <w:tcW w:w="1410" w:type="dxa"/>
                  <w:shd w:val="clear" w:color="auto" w:fill="auto"/>
                </w:tcPr>
                <w:p>
                  <w:r>
                    <w:rPr>
                      <w:rFonts w:hint="eastAsia"/>
                    </w:rPr>
                    <w:sym w:font="Wingdings" w:char="00FE"/>
                  </w:r>
                  <w:r>
                    <w:rPr>
                      <w:rFonts w:hint="eastAsia"/>
                    </w:rPr>
                    <w:t xml:space="preserve">流程基本有效 </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A8"/>
            </w:r>
            <w:r>
              <w:rPr>
                <w:rFonts w:hint="eastAsia"/>
              </w:rPr>
              <w:t xml:space="preserve">基本能够确保完整、 及时地撤回已被识别为潜在不安全的批次/批号产品 </w:t>
            </w:r>
          </w:p>
          <w:p>
            <w:pPr>
              <w:ind w:firstLine="630" w:firstLineChars="300"/>
              <w:rPr>
                <w:u w:val="single"/>
              </w:rPr>
            </w:pPr>
            <w:r>
              <w:rPr>
                <w:rFonts w:hint="eastAsia"/>
                <w:highlight w:val="yellow"/>
              </w:rPr>
              <w:sym w:font="Wingdings" w:char="00FE"/>
            </w:r>
            <w:r>
              <w:rPr>
                <w:rFonts w:hint="eastAsia"/>
                <w:highlight w:val="yellow"/>
              </w:rPr>
              <w:t>不能够确保完整、 及时地撤回已被识别为潜在不安全的批次/批号产品，说明：</w:t>
            </w:r>
            <w:r>
              <w:rPr>
                <w:rFonts w:hint="eastAsia"/>
                <w:highlight w:val="yellow"/>
                <w:u w:val="single"/>
              </w:rPr>
              <w:t>未提供该批次产品相关的生产、检验、销售等证据，也未进行预案有效性的评价。</w:t>
            </w:r>
          </w:p>
          <w:p/>
          <w:p>
            <w:r>
              <w:rPr>
                <w:rFonts w:hint="eastAsia"/>
              </w:rPr>
              <w:t>见《产品召回演练记录》，并向最高管理者报告，作为管理评审的输入。</w:t>
            </w:r>
          </w:p>
          <w:p/>
        </w:tc>
        <w:tc>
          <w:tcPr>
            <w:tcW w:w="1553" w:type="dxa"/>
            <w:vMerge w:val="continue"/>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4"/>
        <w:rFonts w:hint="default"/>
      </w:rPr>
    </w:pPr>
    <w:r>
      <w:rPr>
        <w:rStyle w:val="14"/>
        <w:rFonts w:hint="default"/>
      </w:rPr>
      <w:drawing>
        <wp:anchor distT="0" distB="0" distL="114300" distR="114300" simplePos="0" relativeHeight="251660288" behindDoc="0" locked="0" layoutInCell="1" allowOverlap="1">
          <wp:simplePos x="0" y="0"/>
          <wp:positionH relativeFrom="column">
            <wp:posOffset>19685</wp:posOffset>
          </wp:positionH>
          <wp:positionV relativeFrom="paragraph">
            <wp:posOffset>-1270</wp:posOffset>
          </wp:positionV>
          <wp:extent cx="445135" cy="445135"/>
          <wp:effectExtent l="0" t="0" r="12065" b="1206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45135" cy="44513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wrap="square" anchor="t" anchorCtr="0"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Bqrl1gAAAAoB&#10;AAAPAAAAAAAAAAEAIAAAACIAAABkcnMvZG93bnJldi54bWxQSwECFAAUAAAACACHTuJAS3GRWuQB&#10;AAC1AwAADgAAAAAAAAABACAAAAAlAQAAZHJzL2Uyb0RvYy54bWxQSwUGAAAAAAYABgBZAQAAewUA&#10;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D5E"/>
    <w:rsid w:val="000048D8"/>
    <w:rsid w:val="00004BBA"/>
    <w:rsid w:val="00011CAD"/>
    <w:rsid w:val="00012299"/>
    <w:rsid w:val="00014985"/>
    <w:rsid w:val="00015039"/>
    <w:rsid w:val="00016EAB"/>
    <w:rsid w:val="000237F6"/>
    <w:rsid w:val="0002454B"/>
    <w:rsid w:val="0002718B"/>
    <w:rsid w:val="00027875"/>
    <w:rsid w:val="0003124A"/>
    <w:rsid w:val="00032DC1"/>
    <w:rsid w:val="0003373A"/>
    <w:rsid w:val="00036635"/>
    <w:rsid w:val="00037320"/>
    <w:rsid w:val="000400E2"/>
    <w:rsid w:val="00040D51"/>
    <w:rsid w:val="00045C8E"/>
    <w:rsid w:val="00051F14"/>
    <w:rsid w:val="00056A04"/>
    <w:rsid w:val="00060AD8"/>
    <w:rsid w:val="00061F23"/>
    <w:rsid w:val="000622D8"/>
    <w:rsid w:val="000624FE"/>
    <w:rsid w:val="00062E46"/>
    <w:rsid w:val="00074B70"/>
    <w:rsid w:val="000853EA"/>
    <w:rsid w:val="00085B31"/>
    <w:rsid w:val="000A4BB5"/>
    <w:rsid w:val="000A58BB"/>
    <w:rsid w:val="000B0A0C"/>
    <w:rsid w:val="000B11D3"/>
    <w:rsid w:val="000C2FEA"/>
    <w:rsid w:val="000D023F"/>
    <w:rsid w:val="000D09A6"/>
    <w:rsid w:val="000D559C"/>
    <w:rsid w:val="000E4E65"/>
    <w:rsid w:val="000E6B21"/>
    <w:rsid w:val="000F54CC"/>
    <w:rsid w:val="0011065D"/>
    <w:rsid w:val="001126B5"/>
    <w:rsid w:val="00113826"/>
    <w:rsid w:val="00120F6A"/>
    <w:rsid w:val="00123DA5"/>
    <w:rsid w:val="00132538"/>
    <w:rsid w:val="0014287C"/>
    <w:rsid w:val="001526B8"/>
    <w:rsid w:val="00157344"/>
    <w:rsid w:val="001607F2"/>
    <w:rsid w:val="001612B5"/>
    <w:rsid w:val="00170956"/>
    <w:rsid w:val="00174DED"/>
    <w:rsid w:val="00174F2A"/>
    <w:rsid w:val="00176CE0"/>
    <w:rsid w:val="0018285C"/>
    <w:rsid w:val="001974DA"/>
    <w:rsid w:val="001A252A"/>
    <w:rsid w:val="001A2D7F"/>
    <w:rsid w:val="001A520F"/>
    <w:rsid w:val="001B505A"/>
    <w:rsid w:val="001B723B"/>
    <w:rsid w:val="001C134A"/>
    <w:rsid w:val="001C3A74"/>
    <w:rsid w:val="001D4EB9"/>
    <w:rsid w:val="001D53F2"/>
    <w:rsid w:val="001D7D0F"/>
    <w:rsid w:val="001F158D"/>
    <w:rsid w:val="001F1F13"/>
    <w:rsid w:val="00203CF7"/>
    <w:rsid w:val="00207E13"/>
    <w:rsid w:val="0021056A"/>
    <w:rsid w:val="00212B31"/>
    <w:rsid w:val="00215F05"/>
    <w:rsid w:val="002173FB"/>
    <w:rsid w:val="002218FC"/>
    <w:rsid w:val="0022205D"/>
    <w:rsid w:val="00224494"/>
    <w:rsid w:val="0022505B"/>
    <w:rsid w:val="00234B36"/>
    <w:rsid w:val="002473F9"/>
    <w:rsid w:val="00260470"/>
    <w:rsid w:val="00265479"/>
    <w:rsid w:val="0027116D"/>
    <w:rsid w:val="00271955"/>
    <w:rsid w:val="002817B4"/>
    <w:rsid w:val="00290D09"/>
    <w:rsid w:val="00293136"/>
    <w:rsid w:val="002939AD"/>
    <w:rsid w:val="002A307B"/>
    <w:rsid w:val="002A5E14"/>
    <w:rsid w:val="002B0860"/>
    <w:rsid w:val="002B2743"/>
    <w:rsid w:val="002C27D3"/>
    <w:rsid w:val="002C57E3"/>
    <w:rsid w:val="002D0D56"/>
    <w:rsid w:val="002D6305"/>
    <w:rsid w:val="002E0D29"/>
    <w:rsid w:val="002E383A"/>
    <w:rsid w:val="002E64B1"/>
    <w:rsid w:val="002F2E99"/>
    <w:rsid w:val="002F6900"/>
    <w:rsid w:val="003108C2"/>
    <w:rsid w:val="0031144F"/>
    <w:rsid w:val="00314AF6"/>
    <w:rsid w:val="00325705"/>
    <w:rsid w:val="003360E9"/>
    <w:rsid w:val="00337359"/>
    <w:rsid w:val="00337922"/>
    <w:rsid w:val="00340867"/>
    <w:rsid w:val="0034417D"/>
    <w:rsid w:val="0035165A"/>
    <w:rsid w:val="00353F23"/>
    <w:rsid w:val="00355370"/>
    <w:rsid w:val="00356840"/>
    <w:rsid w:val="00362665"/>
    <w:rsid w:val="00363690"/>
    <w:rsid w:val="003712CC"/>
    <w:rsid w:val="00377B53"/>
    <w:rsid w:val="00380837"/>
    <w:rsid w:val="00383139"/>
    <w:rsid w:val="00383328"/>
    <w:rsid w:val="00387502"/>
    <w:rsid w:val="00393DF3"/>
    <w:rsid w:val="00395ED2"/>
    <w:rsid w:val="003A198A"/>
    <w:rsid w:val="003A543D"/>
    <w:rsid w:val="003A6E33"/>
    <w:rsid w:val="003C0E3C"/>
    <w:rsid w:val="003E385C"/>
    <w:rsid w:val="003F107B"/>
    <w:rsid w:val="003F2216"/>
    <w:rsid w:val="003F399A"/>
    <w:rsid w:val="003F41FD"/>
    <w:rsid w:val="004005B6"/>
    <w:rsid w:val="004006F4"/>
    <w:rsid w:val="004060C4"/>
    <w:rsid w:val="00406ED5"/>
    <w:rsid w:val="00407675"/>
    <w:rsid w:val="00410914"/>
    <w:rsid w:val="004166DE"/>
    <w:rsid w:val="004177C7"/>
    <w:rsid w:val="004267B4"/>
    <w:rsid w:val="0043137D"/>
    <w:rsid w:val="0043397E"/>
    <w:rsid w:val="00435103"/>
    <w:rsid w:val="00440C34"/>
    <w:rsid w:val="004411C2"/>
    <w:rsid w:val="004422D7"/>
    <w:rsid w:val="0045129A"/>
    <w:rsid w:val="00451891"/>
    <w:rsid w:val="0045264D"/>
    <w:rsid w:val="0045550A"/>
    <w:rsid w:val="00455F49"/>
    <w:rsid w:val="00460459"/>
    <w:rsid w:val="0047098E"/>
    <w:rsid w:val="004724DC"/>
    <w:rsid w:val="0047373D"/>
    <w:rsid w:val="00475313"/>
    <w:rsid w:val="00476D60"/>
    <w:rsid w:val="004778AF"/>
    <w:rsid w:val="004800D6"/>
    <w:rsid w:val="00481596"/>
    <w:rsid w:val="0048201E"/>
    <w:rsid w:val="0048318D"/>
    <w:rsid w:val="004872A2"/>
    <w:rsid w:val="00487902"/>
    <w:rsid w:val="00490BC4"/>
    <w:rsid w:val="004932D5"/>
    <w:rsid w:val="00493BE1"/>
    <w:rsid w:val="004A59B4"/>
    <w:rsid w:val="004A7F65"/>
    <w:rsid w:val="004B23E4"/>
    <w:rsid w:val="004B2CE4"/>
    <w:rsid w:val="004B4F93"/>
    <w:rsid w:val="004B6064"/>
    <w:rsid w:val="004B6333"/>
    <w:rsid w:val="004B667A"/>
    <w:rsid w:val="004C0228"/>
    <w:rsid w:val="004C1D69"/>
    <w:rsid w:val="004C618B"/>
    <w:rsid w:val="004D373F"/>
    <w:rsid w:val="004E47C7"/>
    <w:rsid w:val="004F66B3"/>
    <w:rsid w:val="0050405A"/>
    <w:rsid w:val="005069F6"/>
    <w:rsid w:val="00510DD5"/>
    <w:rsid w:val="00513580"/>
    <w:rsid w:val="0051592E"/>
    <w:rsid w:val="00535D87"/>
    <w:rsid w:val="00536930"/>
    <w:rsid w:val="00537516"/>
    <w:rsid w:val="00537540"/>
    <w:rsid w:val="005429D1"/>
    <w:rsid w:val="00546A01"/>
    <w:rsid w:val="0055012C"/>
    <w:rsid w:val="00552DD4"/>
    <w:rsid w:val="00553344"/>
    <w:rsid w:val="005539B9"/>
    <w:rsid w:val="00553CEA"/>
    <w:rsid w:val="00563BA1"/>
    <w:rsid w:val="00564E53"/>
    <w:rsid w:val="00566572"/>
    <w:rsid w:val="0058134E"/>
    <w:rsid w:val="005841E5"/>
    <w:rsid w:val="00584FE1"/>
    <w:rsid w:val="00594D9D"/>
    <w:rsid w:val="00594DCC"/>
    <w:rsid w:val="0059564C"/>
    <w:rsid w:val="005A00DD"/>
    <w:rsid w:val="005A0767"/>
    <w:rsid w:val="005B1A3C"/>
    <w:rsid w:val="005B2F6E"/>
    <w:rsid w:val="005B4D33"/>
    <w:rsid w:val="005B58C1"/>
    <w:rsid w:val="005B72EA"/>
    <w:rsid w:val="005C2581"/>
    <w:rsid w:val="005C4FAC"/>
    <w:rsid w:val="005C72A2"/>
    <w:rsid w:val="005D3198"/>
    <w:rsid w:val="005D4DB2"/>
    <w:rsid w:val="005D5659"/>
    <w:rsid w:val="005E3DEA"/>
    <w:rsid w:val="00600C20"/>
    <w:rsid w:val="0060294D"/>
    <w:rsid w:val="0060686A"/>
    <w:rsid w:val="0061617E"/>
    <w:rsid w:val="00632EF0"/>
    <w:rsid w:val="00644FE2"/>
    <w:rsid w:val="00655371"/>
    <w:rsid w:val="00657054"/>
    <w:rsid w:val="00657154"/>
    <w:rsid w:val="00660EDF"/>
    <w:rsid w:val="00672604"/>
    <w:rsid w:val="00674808"/>
    <w:rsid w:val="00675D39"/>
    <w:rsid w:val="00675F7F"/>
    <w:rsid w:val="0067640C"/>
    <w:rsid w:val="00677678"/>
    <w:rsid w:val="00686C71"/>
    <w:rsid w:val="006A698D"/>
    <w:rsid w:val="006C32C8"/>
    <w:rsid w:val="006C506D"/>
    <w:rsid w:val="006D2CCB"/>
    <w:rsid w:val="006D70E8"/>
    <w:rsid w:val="006D7C0F"/>
    <w:rsid w:val="006E018B"/>
    <w:rsid w:val="006E4CC9"/>
    <w:rsid w:val="006E4FD7"/>
    <w:rsid w:val="006E678B"/>
    <w:rsid w:val="006E7B1D"/>
    <w:rsid w:val="006F520F"/>
    <w:rsid w:val="00700943"/>
    <w:rsid w:val="00702D49"/>
    <w:rsid w:val="007030C6"/>
    <w:rsid w:val="007053BE"/>
    <w:rsid w:val="00711E3B"/>
    <w:rsid w:val="00721965"/>
    <w:rsid w:val="007226EB"/>
    <w:rsid w:val="0073311C"/>
    <w:rsid w:val="007365BB"/>
    <w:rsid w:val="00741BE3"/>
    <w:rsid w:val="00747835"/>
    <w:rsid w:val="00751775"/>
    <w:rsid w:val="00760598"/>
    <w:rsid w:val="00765A8D"/>
    <w:rsid w:val="007663AF"/>
    <w:rsid w:val="007757F3"/>
    <w:rsid w:val="0078135E"/>
    <w:rsid w:val="00786A60"/>
    <w:rsid w:val="007954E8"/>
    <w:rsid w:val="00795CA2"/>
    <w:rsid w:val="007971C0"/>
    <w:rsid w:val="007A114A"/>
    <w:rsid w:val="007A21EB"/>
    <w:rsid w:val="007A7CE0"/>
    <w:rsid w:val="007B02FD"/>
    <w:rsid w:val="007B0B22"/>
    <w:rsid w:val="007B5B5E"/>
    <w:rsid w:val="007B6229"/>
    <w:rsid w:val="007B655B"/>
    <w:rsid w:val="007C1B48"/>
    <w:rsid w:val="007D016A"/>
    <w:rsid w:val="007E3401"/>
    <w:rsid w:val="007E3B15"/>
    <w:rsid w:val="007E6AEB"/>
    <w:rsid w:val="007F1798"/>
    <w:rsid w:val="007F19DD"/>
    <w:rsid w:val="007F472C"/>
    <w:rsid w:val="00801308"/>
    <w:rsid w:val="0080265A"/>
    <w:rsid w:val="00811216"/>
    <w:rsid w:val="00812530"/>
    <w:rsid w:val="00817C10"/>
    <w:rsid w:val="00820011"/>
    <w:rsid w:val="00820245"/>
    <w:rsid w:val="008202FF"/>
    <w:rsid w:val="00821DDE"/>
    <w:rsid w:val="00821F87"/>
    <w:rsid w:val="00822941"/>
    <w:rsid w:val="008233E4"/>
    <w:rsid w:val="008451C2"/>
    <w:rsid w:val="00846448"/>
    <w:rsid w:val="00854C63"/>
    <w:rsid w:val="00856234"/>
    <w:rsid w:val="00862B47"/>
    <w:rsid w:val="00863AEA"/>
    <w:rsid w:val="00870691"/>
    <w:rsid w:val="00872140"/>
    <w:rsid w:val="00873597"/>
    <w:rsid w:val="00880191"/>
    <w:rsid w:val="008973EE"/>
    <w:rsid w:val="008A01F2"/>
    <w:rsid w:val="008A0DC9"/>
    <w:rsid w:val="008A29C8"/>
    <w:rsid w:val="008B12D8"/>
    <w:rsid w:val="008B461B"/>
    <w:rsid w:val="008B5D3F"/>
    <w:rsid w:val="008C4943"/>
    <w:rsid w:val="008C60BB"/>
    <w:rsid w:val="008D0FB3"/>
    <w:rsid w:val="008D2863"/>
    <w:rsid w:val="008E6C63"/>
    <w:rsid w:val="008E6D82"/>
    <w:rsid w:val="008E7625"/>
    <w:rsid w:val="008F091E"/>
    <w:rsid w:val="008F4053"/>
    <w:rsid w:val="008F43C8"/>
    <w:rsid w:val="009015A7"/>
    <w:rsid w:val="00913015"/>
    <w:rsid w:val="00916389"/>
    <w:rsid w:val="0091786D"/>
    <w:rsid w:val="009207DD"/>
    <w:rsid w:val="00921080"/>
    <w:rsid w:val="009211BC"/>
    <w:rsid w:val="0092531B"/>
    <w:rsid w:val="00933316"/>
    <w:rsid w:val="0093624D"/>
    <w:rsid w:val="0094053F"/>
    <w:rsid w:val="00940714"/>
    <w:rsid w:val="009420A7"/>
    <w:rsid w:val="00947B7A"/>
    <w:rsid w:val="00951137"/>
    <w:rsid w:val="00956082"/>
    <w:rsid w:val="0095619B"/>
    <w:rsid w:val="00957CE4"/>
    <w:rsid w:val="00962ED1"/>
    <w:rsid w:val="00966042"/>
    <w:rsid w:val="00970A15"/>
    <w:rsid w:val="00971600"/>
    <w:rsid w:val="00972CB9"/>
    <w:rsid w:val="00981E14"/>
    <w:rsid w:val="00981EE8"/>
    <w:rsid w:val="009920D8"/>
    <w:rsid w:val="009973B4"/>
    <w:rsid w:val="009B36F2"/>
    <w:rsid w:val="009B49B9"/>
    <w:rsid w:val="009C28C1"/>
    <w:rsid w:val="009C3F2A"/>
    <w:rsid w:val="009C4AF9"/>
    <w:rsid w:val="009C54BE"/>
    <w:rsid w:val="009C7962"/>
    <w:rsid w:val="009D12FB"/>
    <w:rsid w:val="009D342E"/>
    <w:rsid w:val="009D4509"/>
    <w:rsid w:val="009E1AE2"/>
    <w:rsid w:val="009E585E"/>
    <w:rsid w:val="009F7EED"/>
    <w:rsid w:val="00A015D3"/>
    <w:rsid w:val="00A03FBB"/>
    <w:rsid w:val="00A112FF"/>
    <w:rsid w:val="00A12A53"/>
    <w:rsid w:val="00A15506"/>
    <w:rsid w:val="00A16374"/>
    <w:rsid w:val="00A1684C"/>
    <w:rsid w:val="00A217B4"/>
    <w:rsid w:val="00A22485"/>
    <w:rsid w:val="00A2596B"/>
    <w:rsid w:val="00A27D10"/>
    <w:rsid w:val="00A35BB7"/>
    <w:rsid w:val="00A37662"/>
    <w:rsid w:val="00A41D8A"/>
    <w:rsid w:val="00A434A9"/>
    <w:rsid w:val="00A45217"/>
    <w:rsid w:val="00A47AA8"/>
    <w:rsid w:val="00A521F0"/>
    <w:rsid w:val="00A53C87"/>
    <w:rsid w:val="00A63563"/>
    <w:rsid w:val="00A63609"/>
    <w:rsid w:val="00A65AD6"/>
    <w:rsid w:val="00A80636"/>
    <w:rsid w:val="00A83253"/>
    <w:rsid w:val="00A87338"/>
    <w:rsid w:val="00A87658"/>
    <w:rsid w:val="00AA5A5E"/>
    <w:rsid w:val="00AA7B5B"/>
    <w:rsid w:val="00AB4835"/>
    <w:rsid w:val="00AB4939"/>
    <w:rsid w:val="00AB5478"/>
    <w:rsid w:val="00AB7ACD"/>
    <w:rsid w:val="00AD6998"/>
    <w:rsid w:val="00AE46F3"/>
    <w:rsid w:val="00AF0AAB"/>
    <w:rsid w:val="00AF33E6"/>
    <w:rsid w:val="00B02602"/>
    <w:rsid w:val="00B11C8D"/>
    <w:rsid w:val="00B126C3"/>
    <w:rsid w:val="00B13394"/>
    <w:rsid w:val="00B1357B"/>
    <w:rsid w:val="00B17324"/>
    <w:rsid w:val="00B35C25"/>
    <w:rsid w:val="00B400CE"/>
    <w:rsid w:val="00B417F0"/>
    <w:rsid w:val="00B4212F"/>
    <w:rsid w:val="00B43B94"/>
    <w:rsid w:val="00B50456"/>
    <w:rsid w:val="00B52550"/>
    <w:rsid w:val="00B55B7C"/>
    <w:rsid w:val="00B57993"/>
    <w:rsid w:val="00B63732"/>
    <w:rsid w:val="00B64C6B"/>
    <w:rsid w:val="00B64E85"/>
    <w:rsid w:val="00B724E4"/>
    <w:rsid w:val="00B76017"/>
    <w:rsid w:val="00B8597B"/>
    <w:rsid w:val="00B872DC"/>
    <w:rsid w:val="00B90869"/>
    <w:rsid w:val="00B924F3"/>
    <w:rsid w:val="00B924FB"/>
    <w:rsid w:val="00B926C4"/>
    <w:rsid w:val="00B9465B"/>
    <w:rsid w:val="00B96835"/>
    <w:rsid w:val="00BB163C"/>
    <w:rsid w:val="00BB5880"/>
    <w:rsid w:val="00BB7EE4"/>
    <w:rsid w:val="00BC07A6"/>
    <w:rsid w:val="00BE3304"/>
    <w:rsid w:val="00BE35AE"/>
    <w:rsid w:val="00BE42D4"/>
    <w:rsid w:val="00BE49AC"/>
    <w:rsid w:val="00BF1078"/>
    <w:rsid w:val="00BF597E"/>
    <w:rsid w:val="00C01D27"/>
    <w:rsid w:val="00C0328E"/>
    <w:rsid w:val="00C213F5"/>
    <w:rsid w:val="00C2543D"/>
    <w:rsid w:val="00C26678"/>
    <w:rsid w:val="00C31D85"/>
    <w:rsid w:val="00C378B1"/>
    <w:rsid w:val="00C416BB"/>
    <w:rsid w:val="00C45F1E"/>
    <w:rsid w:val="00C51A36"/>
    <w:rsid w:val="00C527B6"/>
    <w:rsid w:val="00C52D7C"/>
    <w:rsid w:val="00C55228"/>
    <w:rsid w:val="00C55BE3"/>
    <w:rsid w:val="00C60113"/>
    <w:rsid w:val="00C62093"/>
    <w:rsid w:val="00C63768"/>
    <w:rsid w:val="00C720C3"/>
    <w:rsid w:val="00C72A05"/>
    <w:rsid w:val="00C77034"/>
    <w:rsid w:val="00C912DD"/>
    <w:rsid w:val="00C94849"/>
    <w:rsid w:val="00C9708E"/>
    <w:rsid w:val="00CA4D28"/>
    <w:rsid w:val="00CA4D33"/>
    <w:rsid w:val="00CC592C"/>
    <w:rsid w:val="00CD0EEA"/>
    <w:rsid w:val="00CD1EE8"/>
    <w:rsid w:val="00CD5E58"/>
    <w:rsid w:val="00CE315A"/>
    <w:rsid w:val="00CE7ECB"/>
    <w:rsid w:val="00CF189F"/>
    <w:rsid w:val="00D01C86"/>
    <w:rsid w:val="00D03578"/>
    <w:rsid w:val="00D055EA"/>
    <w:rsid w:val="00D05EE9"/>
    <w:rsid w:val="00D06F59"/>
    <w:rsid w:val="00D128EF"/>
    <w:rsid w:val="00D13EFF"/>
    <w:rsid w:val="00D213E5"/>
    <w:rsid w:val="00D22FE0"/>
    <w:rsid w:val="00D25FF2"/>
    <w:rsid w:val="00D30800"/>
    <w:rsid w:val="00D35D1D"/>
    <w:rsid w:val="00D4205C"/>
    <w:rsid w:val="00D45F3F"/>
    <w:rsid w:val="00D523F5"/>
    <w:rsid w:val="00D55FC8"/>
    <w:rsid w:val="00D62BD8"/>
    <w:rsid w:val="00D65E0B"/>
    <w:rsid w:val="00D66E16"/>
    <w:rsid w:val="00D67A04"/>
    <w:rsid w:val="00D76C40"/>
    <w:rsid w:val="00D80180"/>
    <w:rsid w:val="00D8388C"/>
    <w:rsid w:val="00D84AF4"/>
    <w:rsid w:val="00D86A24"/>
    <w:rsid w:val="00DB0BD5"/>
    <w:rsid w:val="00DC07A3"/>
    <w:rsid w:val="00DC378D"/>
    <w:rsid w:val="00DC75B3"/>
    <w:rsid w:val="00DD3F15"/>
    <w:rsid w:val="00DD79CC"/>
    <w:rsid w:val="00DE28CC"/>
    <w:rsid w:val="00DE62B1"/>
    <w:rsid w:val="00DF1100"/>
    <w:rsid w:val="00DF25B6"/>
    <w:rsid w:val="00E00A5A"/>
    <w:rsid w:val="00E01CFF"/>
    <w:rsid w:val="00E046C8"/>
    <w:rsid w:val="00E10A4B"/>
    <w:rsid w:val="00E11F6C"/>
    <w:rsid w:val="00E15FFD"/>
    <w:rsid w:val="00E24738"/>
    <w:rsid w:val="00E261AE"/>
    <w:rsid w:val="00E30345"/>
    <w:rsid w:val="00E33CAE"/>
    <w:rsid w:val="00E352E7"/>
    <w:rsid w:val="00E42BBC"/>
    <w:rsid w:val="00E43FFD"/>
    <w:rsid w:val="00E50004"/>
    <w:rsid w:val="00E5343C"/>
    <w:rsid w:val="00E558DE"/>
    <w:rsid w:val="00E56138"/>
    <w:rsid w:val="00E6224C"/>
    <w:rsid w:val="00E63724"/>
    <w:rsid w:val="00EA0B69"/>
    <w:rsid w:val="00EA2DF4"/>
    <w:rsid w:val="00EA37D1"/>
    <w:rsid w:val="00EA7E33"/>
    <w:rsid w:val="00EB0164"/>
    <w:rsid w:val="00EB06DE"/>
    <w:rsid w:val="00EB148C"/>
    <w:rsid w:val="00EB158D"/>
    <w:rsid w:val="00EB1FF1"/>
    <w:rsid w:val="00EB2018"/>
    <w:rsid w:val="00EC1BAB"/>
    <w:rsid w:val="00ED0F62"/>
    <w:rsid w:val="00ED7B58"/>
    <w:rsid w:val="00EE2B92"/>
    <w:rsid w:val="00EE3321"/>
    <w:rsid w:val="00EF0CF4"/>
    <w:rsid w:val="00EF40CB"/>
    <w:rsid w:val="00EF75BA"/>
    <w:rsid w:val="00F00642"/>
    <w:rsid w:val="00F01B21"/>
    <w:rsid w:val="00F040AC"/>
    <w:rsid w:val="00F07FCC"/>
    <w:rsid w:val="00F20015"/>
    <w:rsid w:val="00F30DEE"/>
    <w:rsid w:val="00F31280"/>
    <w:rsid w:val="00F31837"/>
    <w:rsid w:val="00F33C9D"/>
    <w:rsid w:val="00F35264"/>
    <w:rsid w:val="00F37B4C"/>
    <w:rsid w:val="00F4538A"/>
    <w:rsid w:val="00F51DFC"/>
    <w:rsid w:val="00F51FD1"/>
    <w:rsid w:val="00F5400D"/>
    <w:rsid w:val="00F55AE8"/>
    <w:rsid w:val="00F66E04"/>
    <w:rsid w:val="00F73E03"/>
    <w:rsid w:val="00F76673"/>
    <w:rsid w:val="00F818BF"/>
    <w:rsid w:val="00F82316"/>
    <w:rsid w:val="00F87C71"/>
    <w:rsid w:val="00F916FC"/>
    <w:rsid w:val="00F93FF3"/>
    <w:rsid w:val="00F97D3C"/>
    <w:rsid w:val="00FA246D"/>
    <w:rsid w:val="00FA268A"/>
    <w:rsid w:val="00FA29A5"/>
    <w:rsid w:val="00FA700C"/>
    <w:rsid w:val="00FB4D7A"/>
    <w:rsid w:val="00FB74F5"/>
    <w:rsid w:val="00FC47BD"/>
    <w:rsid w:val="00FE0DBA"/>
    <w:rsid w:val="00FE17D3"/>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1B73F4"/>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783C1C"/>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41545"/>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4452C8"/>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9915EC"/>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9"/>
    <w:link w:val="6"/>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22</Pages>
  <Words>2383</Words>
  <Characters>13584</Characters>
  <Lines>113</Lines>
  <Paragraphs>31</Paragraphs>
  <TotalTime>9</TotalTime>
  <ScaleCrop>false</ScaleCrop>
  <LinksUpToDate>false</LinksUpToDate>
  <CharactersWithSpaces>15936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2022-03-05T15:33:55Z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F4DF5CF6FA6E41FA87B041A8E45205D0</vt:lpwstr>
  </property>
</Properties>
</file>