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424"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18"/>
        <w:gridCol w:w="1055"/>
        <w:gridCol w:w="893"/>
        <w:gridCol w:w="937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518" w:type="dxa"/>
            <w:vMerge w:val="restart"/>
            <w:shd w:val="clear" w:color="auto" w:fill="auto"/>
            <w:vAlign w:val="center"/>
          </w:tcPr>
          <w:p>
            <w:pPr>
              <w:shd w:val="clear"/>
              <w:spacing w:before="120"/>
              <w:jc w:val="center"/>
              <w:rPr>
                <w:sz w:val="24"/>
                <w:szCs w:val="24"/>
              </w:rPr>
            </w:pPr>
            <w:r>
              <w:rPr>
                <w:rFonts w:hint="eastAsia"/>
                <w:sz w:val="24"/>
                <w:szCs w:val="24"/>
              </w:rPr>
              <w:t>过程与活动、</w:t>
            </w:r>
          </w:p>
          <w:p>
            <w:pPr>
              <w:shd w:val="clear"/>
              <w:jc w:val="center"/>
            </w:pPr>
            <w:r>
              <w:rPr>
                <w:rFonts w:hint="eastAsia"/>
                <w:sz w:val="24"/>
                <w:szCs w:val="24"/>
              </w:rPr>
              <w:t>抽样计划</w:t>
            </w:r>
          </w:p>
        </w:tc>
        <w:tc>
          <w:tcPr>
            <w:tcW w:w="1055" w:type="dxa"/>
            <w:vMerge w:val="restart"/>
            <w:shd w:val="clear" w:color="auto" w:fill="auto"/>
            <w:vAlign w:val="center"/>
          </w:tcPr>
          <w:p>
            <w:pPr>
              <w:shd w:val="clear"/>
              <w:rPr>
                <w:sz w:val="24"/>
                <w:szCs w:val="24"/>
              </w:rPr>
            </w:pPr>
            <w:r>
              <w:rPr>
                <w:rFonts w:hint="eastAsia"/>
                <w:sz w:val="24"/>
                <w:szCs w:val="24"/>
              </w:rPr>
              <w:t>涉及</w:t>
            </w:r>
          </w:p>
          <w:p>
            <w:pPr>
              <w:shd w:val="clear"/>
            </w:pPr>
            <w:r>
              <w:rPr>
                <w:rFonts w:hint="eastAsia"/>
                <w:sz w:val="24"/>
                <w:szCs w:val="24"/>
              </w:rPr>
              <w:t>条款</w:t>
            </w:r>
          </w:p>
        </w:tc>
        <w:tc>
          <w:tcPr>
            <w:tcW w:w="10266" w:type="dxa"/>
            <w:gridSpan w:val="2"/>
            <w:shd w:val="clear" w:color="auto" w:fill="auto"/>
            <w:vAlign w:val="center"/>
          </w:tcPr>
          <w:p>
            <w:pPr>
              <w:shd w:val="clear"/>
              <w:rPr>
                <w:rFonts w:hint="default" w:eastAsia="宋体"/>
                <w:sz w:val="24"/>
                <w:szCs w:val="24"/>
                <w:lang w:val="en-US" w:eastAsia="zh-CN"/>
              </w:rPr>
            </w:pPr>
            <w:r>
              <w:rPr>
                <w:rFonts w:hint="eastAsia"/>
                <w:sz w:val="24"/>
                <w:szCs w:val="24"/>
              </w:rPr>
              <w:t xml:space="preserve">受审核部门：领导层 </w:t>
            </w:r>
            <w:r>
              <w:rPr>
                <w:sz w:val="24"/>
                <w:szCs w:val="24"/>
              </w:rPr>
              <w:t xml:space="preserve">       </w:t>
            </w:r>
            <w:r>
              <w:rPr>
                <w:rFonts w:hint="eastAsia"/>
                <w:sz w:val="24"/>
                <w:szCs w:val="24"/>
                <w:lang w:val="en-US" w:eastAsia="zh-CN"/>
              </w:rPr>
              <w:t>主管领导：杨鹏华</w:t>
            </w:r>
            <w:r>
              <w:rPr>
                <w:sz w:val="24"/>
                <w:szCs w:val="24"/>
              </w:rPr>
              <w:t xml:space="preserve">     </w:t>
            </w:r>
            <w:r>
              <w:rPr>
                <w:rFonts w:hint="eastAsia"/>
                <w:sz w:val="24"/>
                <w:szCs w:val="24"/>
              </w:rPr>
              <w:t>陪同人员：</w:t>
            </w:r>
            <w:r>
              <w:rPr>
                <w:rFonts w:hint="eastAsia"/>
                <w:sz w:val="24"/>
                <w:szCs w:val="24"/>
                <w:lang w:val="en-US" w:eastAsia="zh-CN"/>
              </w:rPr>
              <w:t>章毅娴</w:t>
            </w:r>
          </w:p>
        </w:tc>
        <w:tc>
          <w:tcPr>
            <w:tcW w:w="1585" w:type="dxa"/>
            <w:vMerge w:val="restart"/>
            <w:shd w:val="clear" w:color="auto" w:fill="auto"/>
            <w:vAlign w:val="center"/>
          </w:tcPr>
          <w:p>
            <w:pPr>
              <w:shd w:val="clea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1518" w:type="dxa"/>
            <w:vMerge w:val="continue"/>
            <w:shd w:val="clear" w:color="auto" w:fill="auto"/>
            <w:vAlign w:val="center"/>
          </w:tcPr>
          <w:p>
            <w:pPr>
              <w:shd w:val="clear"/>
            </w:pPr>
          </w:p>
        </w:tc>
        <w:tc>
          <w:tcPr>
            <w:tcW w:w="1055" w:type="dxa"/>
            <w:vMerge w:val="continue"/>
            <w:shd w:val="clear" w:color="auto" w:fill="auto"/>
            <w:vAlign w:val="center"/>
          </w:tcPr>
          <w:p>
            <w:pPr>
              <w:shd w:val="clear"/>
            </w:pPr>
          </w:p>
        </w:tc>
        <w:tc>
          <w:tcPr>
            <w:tcW w:w="10266" w:type="dxa"/>
            <w:gridSpan w:val="2"/>
            <w:shd w:val="clear" w:color="auto" w:fill="auto"/>
            <w:vAlign w:val="center"/>
          </w:tcPr>
          <w:p>
            <w:pPr>
              <w:pStyle w:val="2"/>
              <w:shd w:val="clear"/>
              <w:rPr>
                <w:rFonts w:hint="default" w:eastAsia="宋体"/>
                <w:lang w:val="en-US" w:eastAsia="zh-CN"/>
              </w:rPr>
            </w:pPr>
            <w:r>
              <w:rPr>
                <w:rFonts w:hint="eastAsia"/>
                <w:sz w:val="21"/>
                <w:szCs w:val="21"/>
              </w:rPr>
              <w:t>审核员：</w:t>
            </w:r>
            <w:r>
              <w:rPr>
                <w:rFonts w:hint="eastAsia"/>
                <w:sz w:val="21"/>
                <w:szCs w:val="21"/>
                <w:lang w:val="en-US" w:eastAsia="zh-CN"/>
              </w:rPr>
              <w:t>肖新龙</w:t>
            </w:r>
            <w:r>
              <w:rPr>
                <w:rFonts w:hint="eastAsia"/>
                <w:sz w:val="21"/>
                <w:szCs w:val="21"/>
              </w:rPr>
              <w:t xml:space="preserve">     </w:t>
            </w:r>
            <w:r>
              <w:rPr>
                <w:sz w:val="21"/>
                <w:szCs w:val="21"/>
              </w:rPr>
              <w:t xml:space="preserve">            </w:t>
            </w:r>
            <w:r>
              <w:rPr>
                <w:rFonts w:hint="eastAsia"/>
                <w:sz w:val="21"/>
                <w:szCs w:val="21"/>
              </w:rPr>
              <w:t>审核日期：</w:t>
            </w:r>
            <w:r>
              <w:rPr>
                <w:sz w:val="21"/>
                <w:szCs w:val="21"/>
              </w:rPr>
              <w:t xml:space="preserve"> 202</w:t>
            </w:r>
            <w:r>
              <w:rPr>
                <w:rFonts w:hint="eastAsia"/>
                <w:sz w:val="21"/>
                <w:szCs w:val="21"/>
                <w:lang w:val="en-US" w:eastAsia="zh-CN"/>
              </w:rPr>
              <w:t>2-03-02下午</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518" w:type="dxa"/>
            <w:vMerge w:val="continue"/>
            <w:shd w:val="clear" w:color="auto" w:fill="auto"/>
            <w:vAlign w:val="center"/>
          </w:tcPr>
          <w:p>
            <w:pPr>
              <w:shd w:val="clear"/>
            </w:pPr>
          </w:p>
        </w:tc>
        <w:tc>
          <w:tcPr>
            <w:tcW w:w="1055" w:type="dxa"/>
            <w:vMerge w:val="continue"/>
            <w:shd w:val="clear" w:color="auto" w:fill="auto"/>
            <w:vAlign w:val="center"/>
          </w:tcPr>
          <w:p>
            <w:pPr>
              <w:shd w:val="clear"/>
            </w:pPr>
          </w:p>
        </w:tc>
        <w:tc>
          <w:tcPr>
            <w:tcW w:w="10266" w:type="dxa"/>
            <w:gridSpan w:val="2"/>
            <w:shd w:val="clear" w:color="auto" w:fill="auto"/>
            <w:vAlign w:val="center"/>
          </w:tcPr>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pPr>
            <w:r>
              <w:rPr>
                <w:rFonts w:hint="eastAsia"/>
              </w:rPr>
              <w:t xml:space="preserve">审核条款：QMS：4.1/4.2 /4.3/ 4.4/ </w:t>
            </w:r>
            <w:r>
              <w:t>5.1</w:t>
            </w:r>
            <w:r>
              <w:rPr>
                <w:rFonts w:hint="eastAsia"/>
              </w:rPr>
              <w:t>/</w:t>
            </w:r>
            <w:r>
              <w:t>5.2</w:t>
            </w:r>
            <w:r>
              <w:rPr>
                <w:rFonts w:hint="eastAsia"/>
              </w:rPr>
              <w:t xml:space="preserve">/ </w:t>
            </w:r>
            <w:r>
              <w:t>5.3</w:t>
            </w:r>
            <w:r>
              <w:rPr>
                <w:rFonts w:hint="eastAsia"/>
              </w:rPr>
              <w:t>/6.1/6.2/</w:t>
            </w:r>
            <w:r>
              <w:t>6.3</w:t>
            </w:r>
            <w:r>
              <w:rPr>
                <w:rFonts w:hint="eastAsia"/>
              </w:rPr>
              <w:t>/</w:t>
            </w:r>
            <w:r>
              <w:t>7</w:t>
            </w:r>
            <w:r>
              <w:rPr>
                <w:rFonts w:hint="eastAsia"/>
              </w:rPr>
              <w:t>.1.1/7.4/</w:t>
            </w:r>
            <w:r>
              <w:rPr>
                <w:rFonts w:hint="eastAsia"/>
                <w:lang w:val="en-US" w:eastAsia="zh-CN"/>
              </w:rPr>
              <w:t>7.5.1/8.1/</w:t>
            </w:r>
            <w:r>
              <w:rPr>
                <w:rFonts w:hint="eastAsia"/>
              </w:rPr>
              <w:t>9.1.1/</w:t>
            </w:r>
            <w:r>
              <w:rPr>
                <w:rFonts w:hint="eastAsia"/>
                <w:lang w:val="en-US" w:eastAsia="zh-CN"/>
              </w:rPr>
              <w:t>9.2/</w:t>
            </w:r>
            <w:r>
              <w:rPr>
                <w:rFonts w:hint="eastAsia"/>
              </w:rPr>
              <w:t>9.3/10.1/</w:t>
            </w:r>
            <w:r>
              <w:rPr>
                <w:rFonts w:hint="eastAsia"/>
                <w:lang w:val="en-US" w:eastAsia="zh-CN"/>
              </w:rPr>
              <w:t>10.2/</w:t>
            </w:r>
            <w:r>
              <w:rPr>
                <w:rFonts w:hint="eastAsia"/>
              </w:rPr>
              <w:t>10.3</w:t>
            </w:r>
          </w:p>
          <w:p>
            <w:pPr>
              <w:keepNext w:val="0"/>
              <w:keepLines w:val="0"/>
              <w:pageBreakBefore w:val="0"/>
              <w:widowControl w:val="0"/>
              <w:shd w:val="clear"/>
              <w:kinsoku/>
              <w:wordWrap/>
              <w:overflowPunct/>
              <w:topLinePunct w:val="0"/>
              <w:autoSpaceDE/>
              <w:autoSpaceDN/>
              <w:bidi w:val="0"/>
              <w:adjustRightInd/>
              <w:spacing w:line="360" w:lineRule="auto"/>
              <w:ind w:firstLine="1050" w:firstLineChars="500"/>
              <w:textAlignment w:val="auto"/>
              <w:rPr>
                <w:rFonts w:hint="eastAsia" w:asciiTheme="minorEastAsia" w:hAnsiTheme="minorEastAsia" w:eastAsiaTheme="minorEastAsia"/>
                <w:sz w:val="18"/>
                <w:szCs w:val="18"/>
                <w:highlight w:val="none"/>
              </w:rPr>
            </w:pPr>
            <w:r>
              <w:rPr>
                <w:rFonts w:hint="eastAsia"/>
              </w:rPr>
              <w:t>FSMS：4.1/4.2/4.3/4.4/5.1/5.2/5.3/6.1/6.2/6.3/7.1.1/7.4/</w:t>
            </w:r>
            <w:r>
              <w:rPr>
                <w:rFonts w:hint="eastAsia"/>
                <w:lang w:val="en-US" w:eastAsia="zh-CN"/>
              </w:rPr>
              <w:t>7.5.1/8.1/8.4/9.1.1/9.2/</w:t>
            </w:r>
            <w:r>
              <w:rPr>
                <w:rFonts w:hint="eastAsia"/>
              </w:rPr>
              <w:t>9.3/10.1/</w:t>
            </w:r>
            <w:r>
              <w:rPr>
                <w:rFonts w:hint="eastAsia"/>
                <w:lang w:val="en-US" w:eastAsia="zh-CN"/>
              </w:rPr>
              <w:t>10.2/</w:t>
            </w:r>
            <w:r>
              <w:rPr>
                <w:rFonts w:hint="eastAsia"/>
              </w:rPr>
              <w:t>10.3</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rPr>
                <w:highlight w:val="none"/>
              </w:rPr>
            </w:pPr>
            <w:r>
              <w:rPr>
                <w:rFonts w:hint="eastAsia"/>
                <w:highlight w:val="none"/>
              </w:rPr>
              <w:t>理解组织及其环境</w:t>
            </w:r>
          </w:p>
        </w:tc>
        <w:tc>
          <w:tcPr>
            <w:tcW w:w="1055" w:type="dxa"/>
            <w:vMerge w:val="restart"/>
            <w:shd w:val="clear" w:color="auto" w:fill="auto"/>
          </w:tcPr>
          <w:p>
            <w:pPr>
              <w:shd w:val="clear"/>
              <w:rPr>
                <w:highlight w:val="none"/>
              </w:rPr>
            </w:pPr>
            <w:r>
              <w:rPr>
                <w:rFonts w:hint="eastAsia"/>
                <w:highlight w:val="none"/>
              </w:rPr>
              <w:t xml:space="preserve">Q4.1 </w:t>
            </w:r>
          </w:p>
          <w:p>
            <w:pPr>
              <w:shd w:val="clear"/>
              <w:rPr>
                <w:highlight w:val="none"/>
              </w:rPr>
            </w:pPr>
            <w:r>
              <w:rPr>
                <w:rFonts w:hint="eastAsia"/>
                <w:highlight w:val="none"/>
              </w:rPr>
              <w:t>F4.1</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t xml:space="preserve"> </w:t>
            </w:r>
            <w:r>
              <w:rPr>
                <w:highlight w:val="none"/>
              </w:rPr>
              <w:sym w:font="Wingdings" w:char="00FE"/>
            </w:r>
            <w:r>
              <w:rPr>
                <w:rFonts w:hint="eastAsia"/>
                <w:highlight w:val="none"/>
              </w:rPr>
              <w:t>管理手册第4.1章、</w:t>
            </w:r>
            <w:r>
              <w:rPr>
                <w:highlight w:val="none"/>
              </w:rPr>
              <w:sym w:font="Wingdings" w:char="00A8"/>
            </w:r>
            <w:r>
              <w:rPr>
                <w:rFonts w:hint="eastAsia"/>
                <w:highlight w:val="none"/>
              </w:rPr>
              <w:t>组织内外部环境要素识别表、</w:t>
            </w:r>
            <w:r>
              <w:rPr>
                <w:highlight w:val="none"/>
              </w:rPr>
              <w:sym w:font="Wingdings" w:char="00A8"/>
            </w:r>
            <w:r>
              <w:rPr>
                <w:rFonts w:hint="eastAsia"/>
                <w:highlight w:val="none"/>
              </w:rPr>
              <w:t>《公司环境分析控制程序 》</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color w:val="000000"/>
                <w:szCs w:val="21"/>
                <w:highlight w:val="none"/>
              </w:rPr>
            </w:pPr>
            <w:r>
              <w:rPr>
                <w:rFonts w:hint="eastAsia"/>
                <w:color w:val="000000"/>
                <w:szCs w:val="21"/>
                <w:highlight w:val="none"/>
              </w:rPr>
              <w:t>与最高管理者</w:t>
            </w:r>
            <w:r>
              <w:rPr>
                <w:rFonts w:hint="eastAsia"/>
                <w:color w:val="000000"/>
                <w:szCs w:val="21"/>
                <w:highlight w:val="none"/>
                <w:lang w:val="en-US" w:eastAsia="zh-CN"/>
              </w:rPr>
              <w:t>现场</w:t>
            </w:r>
            <w:r>
              <w:rPr>
                <w:rFonts w:hint="eastAsia"/>
                <w:color w:val="000000"/>
                <w:szCs w:val="21"/>
                <w:highlight w:val="none"/>
              </w:rPr>
              <w:t>沟通：</w:t>
            </w:r>
          </w:p>
          <w:p>
            <w:pPr>
              <w:shd w:val="clear"/>
              <w:rPr>
                <w:color w:val="000000"/>
                <w:szCs w:val="21"/>
                <w:highlight w:val="none"/>
              </w:rPr>
            </w:pPr>
            <w:r>
              <w:rPr>
                <w:rFonts w:hint="eastAsia"/>
                <w:color w:val="000000"/>
                <w:szCs w:val="21"/>
                <w:highlight w:val="none"/>
              </w:rPr>
              <w:t>组织的环境：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外部环境</w:t>
                  </w:r>
                </w:p>
              </w:tc>
              <w:tc>
                <w:tcPr>
                  <w:tcW w:w="7212"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w:t>
                  </w:r>
                  <w:r>
                    <w:rPr>
                      <w:rFonts w:hint="eastAsia"/>
                      <w:highlight w:val="none"/>
                    </w:rPr>
                    <w:sym w:font="Wingdings 2" w:char="0052"/>
                  </w:r>
                  <w:r>
                    <w:rPr>
                      <w:rFonts w:hint="eastAsia"/>
                      <w:highlight w:val="none"/>
                    </w:rPr>
                    <w:t xml:space="preserve">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列举主要的内容</w:t>
                  </w:r>
                </w:p>
              </w:tc>
              <w:tc>
                <w:tcPr>
                  <w:tcW w:w="7212" w:type="dxa"/>
                </w:tcPr>
                <w:p>
                  <w:pPr>
                    <w:pStyle w:val="2"/>
                    <w:rPr>
                      <w:rFonts w:hint="default"/>
                      <w:lang w:val="en-US" w:eastAsia="zh-CN"/>
                    </w:rPr>
                  </w:pPr>
                  <w:r>
                    <w:rPr>
                      <w:rFonts w:hint="eastAsia"/>
                      <w:lang w:val="en-US" w:eastAsia="zh-CN"/>
                    </w:rPr>
                    <w:t>绿色食品工业园、政府支持补贴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内部环境</w:t>
                  </w:r>
                </w:p>
              </w:tc>
              <w:tc>
                <w:tcPr>
                  <w:tcW w:w="7212"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绩效</w:t>
                  </w:r>
                  <w:r>
                    <w:rPr>
                      <w:rFonts w:hint="eastAsia"/>
                      <w:highlight w:val="none"/>
                      <w:lang w:val="en-US" w:eastAsia="zh-CN"/>
                    </w:rPr>
                    <w:t xml:space="preserve"> </w:t>
                  </w:r>
                  <w:r>
                    <w:rPr>
                      <w:rFonts w:hint="eastAsia"/>
                      <w:highlight w:val="none"/>
                    </w:rPr>
                    <w:t xml:space="preserve"> </w:t>
                  </w:r>
                  <w:r>
                    <w:rPr>
                      <w:rFonts w:hint="eastAsia"/>
                      <w:highlight w:val="none"/>
                    </w:rPr>
                    <w:sym w:font="Wingdings 2" w:char="0052"/>
                  </w:r>
                  <w:r>
                    <w:rPr>
                      <w:rFonts w:hint="eastAsia"/>
                      <w:highlight w:val="none"/>
                    </w:rPr>
                    <w:t>工艺</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769" w:type="dxa"/>
                </w:tcPr>
                <w:p>
                  <w:pPr>
                    <w:shd w:val="clear"/>
                    <w:rPr>
                      <w:highlight w:val="none"/>
                    </w:rPr>
                  </w:pPr>
                  <w:r>
                    <w:rPr>
                      <w:rFonts w:hint="eastAsia"/>
                      <w:highlight w:val="none"/>
                    </w:rPr>
                    <w:t>列举主要的内容</w:t>
                  </w:r>
                </w:p>
              </w:tc>
              <w:tc>
                <w:tcPr>
                  <w:tcW w:w="7212" w:type="dxa"/>
                </w:tcPr>
                <w:p>
                  <w:pPr>
                    <w:shd w:val="clear"/>
                    <w:rPr>
                      <w:rFonts w:hint="default" w:eastAsia="宋体"/>
                      <w:highlight w:val="none"/>
                      <w:lang w:val="en-US" w:eastAsia="zh-CN"/>
                    </w:rPr>
                  </w:pPr>
                  <w:r>
                    <w:rPr>
                      <w:rFonts w:hint="eastAsia"/>
                      <w:highlight w:val="none"/>
                      <w:lang w:val="en-US" w:eastAsia="zh-CN"/>
                    </w:rPr>
                    <w:t>核心人员经验丰富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69" w:type="dxa"/>
                </w:tcPr>
                <w:p>
                  <w:pPr>
                    <w:shd w:val="clear"/>
                    <w:rPr>
                      <w:highlight w:val="none"/>
                    </w:rPr>
                  </w:pPr>
                  <w:r>
                    <w:rPr>
                      <w:rFonts w:hint="eastAsia"/>
                      <w:color w:val="000000"/>
                      <w:szCs w:val="21"/>
                      <w:highlight w:val="none"/>
                    </w:rPr>
                    <w:t>组织优势说明</w:t>
                  </w:r>
                </w:p>
              </w:tc>
              <w:tc>
                <w:tcPr>
                  <w:tcW w:w="7212" w:type="dxa"/>
                </w:tcPr>
                <w:p>
                  <w:pPr>
                    <w:shd w:val="clear"/>
                    <w:rPr>
                      <w:rFonts w:hint="default" w:eastAsia="宋体"/>
                      <w:highlight w:val="none"/>
                      <w:lang w:val="en-US" w:eastAsia="zh-CN"/>
                    </w:rPr>
                  </w:pPr>
                  <w:r>
                    <w:rPr>
                      <w:rFonts w:hint="eastAsia"/>
                      <w:highlight w:val="none"/>
                      <w:lang w:val="en-US" w:eastAsia="zh-CN"/>
                    </w:rPr>
                    <w:t>渠道较为稳定、资金较充足、客户需求变化应对及时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69" w:type="dxa"/>
                </w:tcPr>
                <w:p>
                  <w:pPr>
                    <w:shd w:val="clear"/>
                    <w:rPr>
                      <w:highlight w:val="none"/>
                    </w:rPr>
                  </w:pPr>
                  <w:r>
                    <w:rPr>
                      <w:rFonts w:hint="eastAsia"/>
                      <w:color w:val="000000"/>
                      <w:szCs w:val="21"/>
                      <w:highlight w:val="none"/>
                    </w:rPr>
                    <w:t>组织劣势说明</w:t>
                  </w:r>
                </w:p>
              </w:tc>
              <w:tc>
                <w:tcPr>
                  <w:tcW w:w="7212" w:type="dxa"/>
                </w:tcPr>
                <w:p>
                  <w:pPr>
                    <w:shd w:val="clea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管理体系队伍人员整体食品安全知识自我提升比较薄弱，还需要加强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69" w:type="dxa"/>
                </w:tcPr>
                <w:p>
                  <w:pPr>
                    <w:shd w:val="clear"/>
                    <w:rPr>
                      <w:highlight w:val="none"/>
                    </w:rPr>
                  </w:pPr>
                  <w:r>
                    <w:rPr>
                      <w:rFonts w:hint="eastAsia"/>
                      <w:color w:val="000000"/>
                      <w:szCs w:val="21"/>
                      <w:highlight w:val="none"/>
                    </w:rPr>
                    <w:t>主要风险的说明</w:t>
                  </w:r>
                </w:p>
              </w:tc>
              <w:tc>
                <w:tcPr>
                  <w:tcW w:w="7212" w:type="dxa"/>
                </w:tcPr>
                <w:p>
                  <w:pPr>
                    <w:shd w:val="clear"/>
                    <w:rPr>
                      <w:rFonts w:hint="default" w:eastAsia="宋体"/>
                      <w:highlight w:val="none"/>
                      <w:lang w:val="en-US" w:eastAsia="zh-CN"/>
                    </w:rPr>
                  </w:pPr>
                  <w:r>
                    <w:rPr>
                      <w:rFonts w:hint="eastAsia"/>
                      <w:highlight w:val="none"/>
                      <w:lang w:val="en-US" w:eastAsia="zh-CN"/>
                    </w:rPr>
                    <w:t>客户需求量不好控，个别重量鱼库存控制量难度大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69" w:type="dxa"/>
                </w:tcPr>
                <w:p>
                  <w:pPr>
                    <w:shd w:val="clear"/>
                    <w:rPr>
                      <w:highlight w:val="none"/>
                    </w:rPr>
                  </w:pPr>
                  <w:r>
                    <w:rPr>
                      <w:rFonts w:hint="eastAsia"/>
                      <w:color w:val="000000"/>
                      <w:szCs w:val="21"/>
                      <w:highlight w:val="none"/>
                    </w:rPr>
                    <w:t>机遇的说明</w:t>
                  </w:r>
                </w:p>
              </w:tc>
              <w:tc>
                <w:tcPr>
                  <w:tcW w:w="7212" w:type="dxa"/>
                </w:tcPr>
                <w:p>
                  <w:pPr>
                    <w:shd w:val="clear"/>
                    <w:rPr>
                      <w:rFonts w:hint="default" w:eastAsia="宋体"/>
                      <w:highlight w:val="none"/>
                      <w:lang w:val="en-US" w:eastAsia="zh-CN"/>
                    </w:rPr>
                  </w:pPr>
                  <w:r>
                    <w:rPr>
                      <w:rFonts w:hint="eastAsia"/>
                      <w:highlight w:val="none"/>
                      <w:lang w:val="en-US" w:eastAsia="zh-CN"/>
                    </w:rPr>
                    <w:t>全国100亿的市场份额，市场空间还比较大</w:t>
                  </w:r>
                </w:p>
              </w:tc>
            </w:tr>
          </w:tbl>
          <w:p>
            <w:pPr>
              <w:shd w:val="clear"/>
              <w:rPr>
                <w:color w:val="000000"/>
                <w:szCs w:val="21"/>
                <w:highlight w:val="none"/>
              </w:rPr>
            </w:pPr>
          </w:p>
          <w:p>
            <w:pPr>
              <w:shd w:val="clear"/>
              <w:rPr>
                <w:rFonts w:hint="default" w:eastAsia="宋体"/>
                <w:color w:val="000000"/>
                <w:szCs w:val="21"/>
                <w:highlight w:val="none"/>
                <w:lang w:val="en-US" w:eastAsia="zh-CN"/>
              </w:rPr>
            </w:pPr>
            <w:r>
              <w:rPr>
                <w:rFonts w:hint="eastAsia"/>
                <w:color w:val="000000"/>
                <w:szCs w:val="21"/>
                <w:highlight w:val="none"/>
              </w:rPr>
              <w:t>主要证据体现在</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w:t>
            </w:r>
            <w:r>
              <w:rPr>
                <w:rFonts w:hint="eastAsia"/>
                <w:highlight w:val="none"/>
              </w:rPr>
              <w:t>组织内外部环境要素识别表</w:t>
            </w:r>
            <w:r>
              <w:rPr>
                <w:rFonts w:hint="eastAsia" w:ascii="宋体" w:hAnsi="宋体"/>
                <w:highlight w:val="none"/>
              </w:rPr>
              <w:t>》</w:t>
            </w:r>
            <w:r>
              <w:rPr>
                <w:rFonts w:hint="eastAsia"/>
                <w:highlight w:val="none"/>
              </w:rPr>
              <w:t xml:space="preserve"> </w:t>
            </w:r>
            <w:r>
              <w:rPr>
                <w:rFonts w:hint="eastAsia"/>
                <w:highlight w:val="none"/>
              </w:rPr>
              <w:sym w:font="Wingdings" w:char="00A8"/>
            </w:r>
            <w:r>
              <w:rPr>
                <w:rFonts w:hint="eastAsia"/>
                <w:highlight w:val="none"/>
              </w:rPr>
              <w:t xml:space="preserve">《组织及其环境分析表》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rPr>
                <w:rFonts w:hint="default" w:eastAsia="宋体"/>
                <w:lang w:val="en-US" w:eastAsia="zh-CN"/>
              </w:rPr>
            </w:pPr>
            <w:r>
              <w:rPr>
                <w:rFonts w:hint="eastAsia"/>
              </w:rPr>
              <w:t>理解相关方的需求和期望</w:t>
            </w:r>
            <w:r>
              <w:rPr>
                <w:rFonts w:hint="eastAsia"/>
                <w:lang w:val="en-US" w:eastAsia="zh-CN"/>
              </w:rPr>
              <w:t>/合规义务</w:t>
            </w:r>
          </w:p>
        </w:tc>
        <w:tc>
          <w:tcPr>
            <w:tcW w:w="1055" w:type="dxa"/>
            <w:vMerge w:val="restart"/>
            <w:shd w:val="clear" w:color="auto" w:fill="auto"/>
          </w:tcPr>
          <w:p>
            <w:pPr>
              <w:shd w:val="clear"/>
            </w:pPr>
            <w:r>
              <w:rPr>
                <w:rFonts w:hint="eastAsia"/>
              </w:rPr>
              <w:t xml:space="preserve">Q4.2 </w:t>
            </w:r>
          </w:p>
          <w:p>
            <w:pPr>
              <w:shd w:val="clear"/>
              <w:rPr>
                <w:rFonts w:hint="eastAsia"/>
              </w:rPr>
            </w:pPr>
            <w:r>
              <w:rPr>
                <w:rFonts w:hint="eastAsia"/>
              </w:rPr>
              <w:t>F4.2</w:t>
            </w:r>
          </w:p>
          <w:p>
            <w:pPr>
              <w:pStyle w:val="6"/>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eastAsia" w:eastAsia="宋体"/>
                <w:lang w:eastAsia="zh-CN"/>
              </w:rPr>
            </w:pPr>
            <w:r>
              <w:rPr>
                <w:rFonts w:hint="eastAsia"/>
              </w:rPr>
              <w:t>如：《相关方需求和期望控制程序》、</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w:t>
            </w: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rPr>
                    <w:t>重要的相关方</w:t>
                  </w:r>
                </w:p>
              </w:tc>
              <w:tc>
                <w:tcPr>
                  <w:tcW w:w="2701" w:type="dxa"/>
                </w:tcPr>
                <w:p>
                  <w:pPr>
                    <w:shd w:val="clear"/>
                    <w:rPr>
                      <w:highlight w:val="none"/>
                    </w:rPr>
                  </w:pPr>
                  <w:r>
                    <w:rPr>
                      <w:rFonts w:hint="eastAsia"/>
                      <w:highlight w:val="none"/>
                    </w:rPr>
                    <w:t>相关方名称举例</w:t>
                  </w:r>
                </w:p>
              </w:tc>
              <w:tc>
                <w:tcPr>
                  <w:tcW w:w="4729" w:type="dxa"/>
                </w:tcPr>
                <w:p>
                  <w:pPr>
                    <w:shd w:val="clea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shd w:val="clear"/>
                    <w:rPr>
                      <w:rFonts w:hint="default" w:eastAsia="宋体"/>
                      <w:highlight w:val="none"/>
                      <w:lang w:val="en-US" w:eastAsia="zh-CN"/>
                    </w:rPr>
                  </w:pPr>
                  <w:r>
                    <w:rPr>
                      <w:rFonts w:hint="eastAsia"/>
                      <w:highlight w:val="none"/>
                      <w:lang w:val="en-US" w:eastAsia="zh-CN"/>
                    </w:rPr>
                    <w:t>绩溪县市场监督管理局</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shd w:val="clea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8"/>
                    <w:shd w:val="clear"/>
                    <w:ind w:left="0" w:leftChars="0" w:firstLine="0" w:firstLineChars="0"/>
                    <w:rPr>
                      <w:rFonts w:hint="default" w:eastAsia="宋体"/>
                      <w:highlight w:val="none"/>
                      <w:lang w:val="en-US" w:eastAsia="zh-CN"/>
                    </w:rPr>
                  </w:pPr>
                  <w:r>
                    <w:rPr>
                      <w:rFonts w:hint="eastAsia"/>
                      <w:highlight w:val="none"/>
                      <w:lang w:val="en-US" w:eastAsia="zh-CN"/>
                    </w:rPr>
                    <w:t>广东跃达水产（冻品）有限公司、安徽诚庄软包装有限公司等</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shd w:val="clea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shd w:val="clear"/>
                    <w:rPr>
                      <w:highlight w:val="none"/>
                    </w:rPr>
                  </w:pPr>
                  <w:r>
                    <w:rPr>
                      <w:rFonts w:hint="eastAsia"/>
                      <w:highlight w:val="none"/>
                    </w:rPr>
                    <w:t>☑顾客</w:t>
                  </w:r>
                </w:p>
              </w:tc>
              <w:tc>
                <w:tcPr>
                  <w:tcW w:w="2701" w:type="dxa"/>
                </w:tcPr>
                <w:p>
                  <w:pPr>
                    <w:pStyle w:val="8"/>
                    <w:shd w:val="clear"/>
                    <w:ind w:left="0" w:leftChars="0" w:firstLine="0" w:firstLineChars="0"/>
                    <w:rPr>
                      <w:rFonts w:hint="default" w:eastAsia="宋体"/>
                      <w:highlight w:val="none"/>
                      <w:lang w:val="en-US" w:eastAsia="zh-CN"/>
                    </w:rPr>
                  </w:pPr>
                  <w:r>
                    <w:rPr>
                      <w:rFonts w:hint="eastAsia"/>
                      <w:highlight w:val="none"/>
                      <w:lang w:val="en-US" w:eastAsia="zh-CN"/>
                    </w:rPr>
                    <w:t>山东淄博中房云景轩酒店、合肥俏山姑餐饮管理有限公司等</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shd w:val="clea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701" w:type="dxa"/>
                </w:tcPr>
                <w:p>
                  <w:pPr>
                    <w:shd w:val="clear"/>
                    <w:rPr>
                      <w:rFonts w:hint="default" w:eastAsia="宋体"/>
                      <w:highlight w:val="none"/>
                      <w:lang w:val="en-US" w:eastAsia="zh-CN"/>
                    </w:rPr>
                  </w:pPr>
                  <w:r>
                    <w:rPr>
                      <w:rFonts w:hint="eastAsia" w:ascii="宋体" w:hAnsi="宋体" w:cs="宋体"/>
                      <w:szCs w:val="21"/>
                      <w:highlight w:val="none"/>
                      <w:lang w:val="en-US" w:eastAsia="zh-CN"/>
                    </w:rPr>
                    <w:t>普通大众</w:t>
                  </w:r>
                </w:p>
              </w:tc>
              <w:tc>
                <w:tcPr>
                  <w:tcW w:w="4729" w:type="dxa"/>
                </w:tcPr>
                <w:p>
                  <w:pPr>
                    <w:shd w:val="clear"/>
                    <w:rPr>
                      <w:highlight w:val="none"/>
                    </w:rPr>
                  </w:pPr>
                  <w:r>
                    <w:rPr>
                      <w:rFonts w:hint="eastAsia"/>
                      <w:highlight w:val="none"/>
                    </w:rPr>
                    <w:t>☑良好的使用感受</w:t>
                  </w:r>
                </w:p>
                <w:p>
                  <w:pPr>
                    <w:shd w:val="clea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szCs w:val="24"/>
                      <w:highlight w:val="none"/>
                    </w:rPr>
                  </w:pPr>
                  <w:r>
                    <w:rPr>
                      <w:rFonts w:hint="eastAsia"/>
                      <w:highlight w:val="none"/>
                    </w:rPr>
                    <w:sym w:font="Wingdings 2" w:char="0052"/>
                  </w:r>
                  <w:r>
                    <w:rPr>
                      <w:rFonts w:hint="eastAsia"/>
                      <w:highlight w:val="none"/>
                    </w:rPr>
                    <w:t>员工</w:t>
                  </w:r>
                </w:p>
              </w:tc>
              <w:tc>
                <w:tcPr>
                  <w:tcW w:w="2701" w:type="dxa"/>
                </w:tcPr>
                <w:p>
                  <w:pPr>
                    <w:shd w:val="clear"/>
                    <w:rPr>
                      <w:szCs w:val="24"/>
                      <w:highlight w:val="none"/>
                    </w:rPr>
                  </w:pPr>
                  <w:r>
                    <w:rPr>
                      <w:rFonts w:hint="eastAsia"/>
                      <w:szCs w:val="24"/>
                      <w:highlight w:val="none"/>
                    </w:rPr>
                    <w:t>雇员</w:t>
                  </w:r>
                </w:p>
              </w:tc>
              <w:tc>
                <w:tcPr>
                  <w:tcW w:w="4729" w:type="dxa"/>
                </w:tcPr>
                <w:p>
                  <w:pPr>
                    <w:shd w:val="clear"/>
                    <w:rPr>
                      <w:highlight w:val="none"/>
                    </w:rPr>
                  </w:pPr>
                  <w:r>
                    <w:rPr>
                      <w:rFonts w:hint="eastAsia"/>
                      <w:highlight w:val="none"/>
                    </w:rPr>
                    <w:t>☑组织的持续经营、自我发展</w:t>
                  </w:r>
                </w:p>
                <w:p>
                  <w:pPr>
                    <w:shd w:val="clear"/>
                    <w:rPr>
                      <w:highlight w:val="none"/>
                    </w:rPr>
                  </w:pPr>
                  <w:r>
                    <w:rPr>
                      <w:rFonts w:hint="eastAsia"/>
                      <w:highlight w:val="none"/>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lang w:eastAsia="zh-CN"/>
                    </w:rPr>
                    <w:t>□</w:t>
                  </w:r>
                  <w:r>
                    <w:rPr>
                      <w:rFonts w:hint="eastAsia"/>
                      <w:highlight w:val="none"/>
                    </w:rPr>
                    <w:t>投资方</w:t>
                  </w:r>
                </w:p>
              </w:tc>
              <w:tc>
                <w:tcPr>
                  <w:tcW w:w="2701" w:type="dxa"/>
                </w:tcPr>
                <w:p>
                  <w:pPr>
                    <w:shd w:val="clear"/>
                    <w:rPr>
                      <w:rFonts w:hint="eastAsia" w:eastAsia="宋体"/>
                      <w:highlight w:val="none"/>
                      <w:lang w:eastAsia="zh-CN"/>
                    </w:rPr>
                  </w:pPr>
                  <w:r>
                    <w:rPr>
                      <w:rFonts w:hint="eastAsia"/>
                      <w:highlight w:val="none"/>
                      <w:lang w:eastAsia="zh-CN"/>
                    </w:rPr>
                    <w:t>——</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组织的持续经营、盈利</w:t>
                  </w:r>
                </w:p>
                <w:p>
                  <w:pPr>
                    <w:shd w:val="clear"/>
                    <w:rPr>
                      <w:highlight w:val="none"/>
                    </w:rPr>
                  </w:pPr>
                  <w:r>
                    <w:rPr>
                      <w:rFonts w:hint="eastAsia"/>
                      <w:highlight w:val="none"/>
                      <w:lang w:eastAsia="zh-CN"/>
                    </w:rPr>
                    <w:t>□</w:t>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shd w:val="clear"/>
                    <w:rPr>
                      <w:highlight w:val="none"/>
                    </w:rPr>
                  </w:pPr>
                  <w:r>
                    <w:rPr>
                      <w:rFonts w:hint="eastAsia"/>
                      <w:highlight w:val="none"/>
                    </w:rPr>
                    <w:sym w:font="Wingdings 2" w:char="00A3"/>
                  </w:r>
                  <w:r>
                    <w:rPr>
                      <w:rFonts w:hint="eastAsia"/>
                      <w:highlight w:val="none"/>
                    </w:rPr>
                    <w:t>社区</w:t>
                  </w:r>
                </w:p>
              </w:tc>
              <w:tc>
                <w:tcPr>
                  <w:tcW w:w="2701" w:type="dxa"/>
                </w:tcPr>
                <w:p>
                  <w:pPr>
                    <w:shd w:val="clear"/>
                    <w:rPr>
                      <w:rFonts w:hint="default" w:eastAsia="宋体"/>
                      <w:highlight w:val="none"/>
                      <w:lang w:val="en-US" w:eastAsia="zh-CN"/>
                    </w:rPr>
                  </w:pPr>
                </w:p>
              </w:tc>
              <w:tc>
                <w:tcPr>
                  <w:tcW w:w="4729" w:type="dxa"/>
                </w:tcPr>
                <w:p>
                  <w:pPr>
                    <w:shd w:val="clear"/>
                    <w:rPr>
                      <w:highlight w:val="none"/>
                    </w:rPr>
                  </w:pPr>
                  <w:r>
                    <w:rPr>
                      <w:rFonts w:hint="eastAsia"/>
                      <w:highlight w:val="none"/>
                    </w:rPr>
                    <w:sym w:font="Wingdings 2" w:char="0052"/>
                  </w:r>
                  <w:r>
                    <w:rPr>
                      <w:rFonts w:hint="eastAsia"/>
                      <w:highlight w:val="none"/>
                    </w:rPr>
                    <w:t>不因食品安全问题影响周围人员的就业</w:t>
                  </w:r>
                </w:p>
                <w:p>
                  <w:pPr>
                    <w:shd w:val="clear"/>
                    <w:rPr>
                      <w:rFonts w:hint="default" w:eastAsia="宋体"/>
                      <w:highlight w:val="none"/>
                      <w:lang w:val="en-US" w:eastAsia="zh-CN"/>
                    </w:rPr>
                  </w:pPr>
                  <w:r>
                    <w:rPr>
                      <w:rFonts w:hint="eastAsia"/>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rPr>
                    <w:sym w:font="Wingdings 2" w:char="0052"/>
                  </w:r>
                  <w:r>
                    <w:rPr>
                      <w:rFonts w:hint="eastAsia"/>
                      <w:highlight w:val="none"/>
                    </w:rPr>
                    <w:t>其他</w:t>
                  </w:r>
                </w:p>
              </w:tc>
              <w:tc>
                <w:tcPr>
                  <w:tcW w:w="2701" w:type="dxa"/>
                </w:tcPr>
                <w:p>
                  <w:pPr>
                    <w:shd w:val="clear"/>
                    <w:rPr>
                      <w:rFonts w:hint="eastAsia" w:eastAsia="宋体"/>
                      <w:highlight w:val="none"/>
                      <w:lang w:val="en-US" w:eastAsia="zh-CN"/>
                    </w:rPr>
                  </w:pPr>
                  <w:r>
                    <w:rPr>
                      <w:rFonts w:hint="eastAsia"/>
                      <w:highlight w:val="none"/>
                      <w:lang w:val="en-US" w:eastAsia="zh-CN"/>
                    </w:rPr>
                    <w:t>工业园区</w:t>
                  </w:r>
                </w:p>
              </w:tc>
              <w:tc>
                <w:tcPr>
                  <w:tcW w:w="4729" w:type="dxa"/>
                </w:tcPr>
                <w:p>
                  <w:pPr>
                    <w:shd w:val="clear"/>
                    <w:rPr>
                      <w:rFonts w:hint="default" w:eastAsia="宋体"/>
                      <w:highlight w:val="none"/>
                      <w:lang w:val="en-US" w:eastAsia="zh-CN"/>
                    </w:rPr>
                  </w:pPr>
                  <w:r>
                    <w:rPr>
                      <w:rFonts w:hint="eastAsia"/>
                      <w:highlight w:val="none"/>
                    </w:rPr>
                    <w:sym w:font="Wingdings 2" w:char="0052"/>
                  </w:r>
                  <w:r>
                    <w:rPr>
                      <w:rFonts w:hint="eastAsia"/>
                      <w:highlight w:val="none"/>
                    </w:rPr>
                    <w:t>不因食品安全问题影响周围人员的就业</w:t>
                  </w:r>
                  <w:r>
                    <w:rPr>
                      <w:rFonts w:hint="eastAsia"/>
                      <w:highlight w:val="none"/>
                      <w:lang w:val="en-US" w:eastAsia="zh-CN"/>
                    </w:rPr>
                    <w:t>/企业经营</w:t>
                  </w:r>
                </w:p>
                <w:p>
                  <w:pPr>
                    <w:shd w:val="clear"/>
                    <w:rPr>
                      <w:highlight w:val="none"/>
                    </w:rPr>
                  </w:pPr>
                  <w:r>
                    <w:rPr>
                      <w:rFonts w:hint="eastAsia"/>
                      <w:highlight w:val="none"/>
                    </w:rPr>
                    <w:sym w:font="Wingdings 2" w:char="00A3"/>
                  </w:r>
                </w:p>
              </w:tc>
            </w:tr>
          </w:tbl>
          <w:p>
            <w:pPr>
              <w:shd w:val="clear"/>
              <w:rPr>
                <w:rFonts w:hint="eastAsia"/>
              </w:rPr>
            </w:pPr>
          </w:p>
          <w:p>
            <w:pPr>
              <w:shd w:val="clea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sym w:font="Wingdings 2" w:char="00A3"/>
            </w:r>
            <w:r>
              <w:rPr>
                <w:rFonts w:hint="eastAsia"/>
                <w:lang w:val="en-US" w:eastAsia="zh-CN"/>
              </w:rPr>
              <w:t>《合规义务清单》、</w:t>
            </w:r>
            <w:r>
              <w:rPr/>
              <w:sym w:font="Wingdings 2" w:char="0052"/>
            </w:r>
            <w:r>
              <w:rPr>
                <w:rFonts w:hint="eastAsia"/>
                <w:lang w:eastAsia="zh-CN"/>
              </w:rPr>
              <w:t>《</w:t>
            </w:r>
            <w:r>
              <w:rPr>
                <w:rFonts w:hint="eastAsia"/>
                <w:lang w:val="en-US" w:eastAsia="zh-CN"/>
              </w:rPr>
              <w:t>适用法律法规清单</w:t>
            </w:r>
            <w:r>
              <w:rPr>
                <w:rFonts w:hint="eastAsia"/>
                <w:lang w:eastAsia="zh-CN"/>
              </w:rPr>
              <w:t>》</w:t>
            </w:r>
          </w:p>
          <w:p>
            <w:pPr>
              <w:shd w:val="clear"/>
              <w:rPr>
                <w:rFonts w:hint="default" w:eastAsia="宋体"/>
                <w:color w:val="000000"/>
                <w:szCs w:val="21"/>
                <w:lang w:val="en-US" w:eastAsia="zh-CN"/>
              </w:rPr>
            </w:pP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确定质量/食品安全管理体系的范围</w:t>
            </w:r>
          </w:p>
        </w:tc>
        <w:tc>
          <w:tcPr>
            <w:tcW w:w="1055" w:type="dxa"/>
            <w:vMerge w:val="restart"/>
            <w:shd w:val="clear" w:color="auto" w:fill="auto"/>
          </w:tcPr>
          <w:p>
            <w:pPr>
              <w:shd w:val="clear"/>
            </w:pPr>
            <w:r>
              <w:rPr>
                <w:rFonts w:hint="eastAsia"/>
              </w:rPr>
              <w:t>Q4.3</w:t>
            </w:r>
          </w:p>
          <w:p>
            <w:pPr>
              <w:shd w:val="clear"/>
              <w:rPr>
                <w:rFonts w:hint="eastAsia"/>
              </w:rPr>
            </w:pPr>
            <w:r>
              <w:rPr>
                <w:rFonts w:hint="eastAsia"/>
              </w:rPr>
              <w:t>F4.3</w:t>
            </w:r>
          </w:p>
          <w:p>
            <w:pPr>
              <w:pStyle w:val="6"/>
              <w:shd w:val="clear"/>
              <w:rPr>
                <w:rFonts w:hint="default" w:eastAsia="宋体"/>
                <w:lang w:val="en-US" w:eastAsia="zh-CN"/>
              </w:rP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rPr>
              <w:t>管理手册第4.3章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组织应明确相关管理体系的范围；</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范围的项目</w:t>
                  </w:r>
                </w:p>
              </w:tc>
              <w:tc>
                <w:tcPr>
                  <w:tcW w:w="5446" w:type="dxa"/>
                </w:tcPr>
                <w:p>
                  <w:pPr>
                    <w:shd w:val="clear"/>
                  </w:pPr>
                  <w:r>
                    <w:rPr>
                      <w:rFonts w:hint="eastAsia"/>
                    </w:rPr>
                    <w:t>内容描述</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产品/服务的活动</w:t>
                  </w:r>
                </w:p>
              </w:tc>
              <w:tc>
                <w:tcPr>
                  <w:tcW w:w="5446" w:type="dxa"/>
                </w:tcPr>
                <w:p>
                  <w:pPr>
                    <w:shd w:val="clear"/>
                    <w:rPr>
                      <w:szCs w:val="21"/>
                    </w:rPr>
                  </w:pPr>
                  <w:r>
                    <w:rPr>
                      <w:sz w:val="20"/>
                    </w:rPr>
                    <w:t>速冻调制食品【生制品（盐渍鱼）】的生产</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 xml:space="preserve">审核范围描述 </w:t>
                  </w:r>
                </w:p>
              </w:tc>
              <w:tc>
                <w:tcPr>
                  <w:tcW w:w="5446" w:type="dxa"/>
                </w:tcPr>
                <w:p>
                  <w:pPr>
                    <w:rPr>
                      <w:sz w:val="20"/>
                    </w:rPr>
                  </w:pPr>
                  <w:bookmarkStart w:id="0" w:name="审核范围"/>
                  <w:r>
                    <w:rPr>
                      <w:sz w:val="20"/>
                    </w:rPr>
                    <w:t>Q：速冻调制食品【生制品（盐渍鱼）】的生产</w:t>
                  </w:r>
                </w:p>
                <w:p>
                  <w:pPr>
                    <w:shd w:val="clear"/>
                    <w:autoSpaceDE w:val="0"/>
                    <w:autoSpaceDN w:val="0"/>
                    <w:adjustRightInd w:val="0"/>
                    <w:jc w:val="left"/>
                  </w:pPr>
                  <w:r>
                    <w:rPr>
                      <w:sz w:val="20"/>
                    </w:rPr>
                    <w:t>F：位于安徽省宣城市绩溪县生态工业园区纬二路安徽省徽都徽菜食品有限公司生产车间速冻调制食品【生制品（盐渍鱼）】的生产</w:t>
                  </w:r>
                  <w:bookmarkEnd w:id="0"/>
                </w:p>
              </w:tc>
              <w:tc>
                <w:tcPr>
                  <w:tcW w:w="1686" w:type="dxa"/>
                </w:tcPr>
                <w:p>
                  <w:pPr>
                    <w:shd w:val="clear"/>
                    <w:rPr>
                      <w:rFonts w:hint="default" w:eastAsia="宋体"/>
                      <w:sz w:val="18"/>
                      <w:szCs w:val="18"/>
                      <w:lang w:val="en-US" w:eastAsia="zh-CN"/>
                    </w:rPr>
                  </w:pPr>
                  <w:r>
                    <w:rPr>
                      <w:rFonts w:hint="eastAsia"/>
                      <w:sz w:val="18"/>
                      <w:szCs w:val="18"/>
                      <w:lang w:val="en-US" w:eastAsia="zh-CN"/>
                    </w:rPr>
                    <w:t>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rPr>
                      <w:rFonts w:hint="default" w:eastAsia="宋体"/>
                      <w:lang w:val="en-US" w:eastAsia="zh-CN"/>
                    </w:rPr>
                  </w:pPr>
                  <w:r>
                    <w:rPr>
                      <w:rFonts w:hint="eastAsia"/>
                      <w:lang w:val="en-US" w:eastAsia="zh-CN"/>
                    </w:rPr>
                    <w:t>注册地址</w:t>
                  </w:r>
                </w:p>
              </w:tc>
              <w:tc>
                <w:tcPr>
                  <w:tcW w:w="5446" w:type="dxa"/>
                  <w:vAlign w:val="center"/>
                </w:tcPr>
                <w:p>
                  <w:pPr>
                    <w:shd w:val="clear"/>
                    <w:rPr>
                      <w:rFonts w:hint="eastAsia" w:cs="Times New Roman" w:asciiTheme="minorEastAsia" w:hAnsiTheme="minorEastAsia" w:eastAsiaTheme="minorEastAsia"/>
                      <w:kern w:val="2"/>
                      <w:sz w:val="20"/>
                      <w:lang w:val="en-US" w:eastAsia="zh-CN" w:bidi="ar-SA"/>
                    </w:rPr>
                  </w:pPr>
                  <w:r>
                    <w:rPr>
                      <w:rFonts w:asciiTheme="minorEastAsia" w:hAnsiTheme="minorEastAsia" w:eastAsiaTheme="minorEastAsia"/>
                      <w:sz w:val="20"/>
                    </w:rPr>
                    <w:t>安徽省宣城市绩溪县生态工业园区纬二路</w:t>
                  </w:r>
                </w:p>
              </w:tc>
              <w:tc>
                <w:tcPr>
                  <w:tcW w:w="1686" w:type="dxa"/>
                </w:tcPr>
                <w:p>
                  <w:pPr>
                    <w:shd w:val="clear"/>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pPr>
                    <w:shd w:val="clear"/>
                  </w:pPr>
                  <w:r>
                    <w:rPr>
                      <w:rFonts w:hint="eastAsia"/>
                    </w:rPr>
                    <w:t>经营地址</w:t>
                  </w:r>
                </w:p>
              </w:tc>
              <w:tc>
                <w:tcPr>
                  <w:tcW w:w="5446" w:type="dxa"/>
                  <w:vAlign w:val="center"/>
                </w:tcPr>
                <w:p>
                  <w:pPr>
                    <w:shd w:val="clear"/>
                    <w:rPr>
                      <w:rFonts w:hint="eastAsia" w:cs="Times New Roman" w:asciiTheme="minorEastAsia" w:hAnsiTheme="minorEastAsia" w:eastAsiaTheme="minorEastAsia"/>
                      <w:kern w:val="2"/>
                      <w:sz w:val="20"/>
                      <w:lang w:val="en-US" w:eastAsia="zh-CN" w:bidi="ar-SA"/>
                    </w:rPr>
                  </w:pPr>
                  <w:r>
                    <w:rPr>
                      <w:rFonts w:asciiTheme="minorEastAsia" w:hAnsiTheme="minorEastAsia" w:eastAsiaTheme="minorEastAsia"/>
                      <w:sz w:val="20"/>
                    </w:rPr>
                    <w:t>安徽省宣城市绩溪县生态工业园区纬二路</w:t>
                  </w:r>
                </w:p>
              </w:tc>
              <w:tc>
                <w:tcPr>
                  <w:tcW w:w="1686" w:type="dxa"/>
                </w:tcPr>
                <w:p>
                  <w:pPr>
                    <w:shd w:val="clea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临时现场</w:t>
                  </w:r>
                </w:p>
              </w:tc>
              <w:tc>
                <w:tcPr>
                  <w:tcW w:w="5446" w:type="dxa"/>
                </w:tcPr>
                <w:p>
                  <w:pPr>
                    <w:shd w:val="clear"/>
                  </w:pPr>
                  <w:r>
                    <w:rPr>
                      <w:rFonts w:hint="eastAsia"/>
                    </w:rPr>
                    <w:t>——</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多场所</w:t>
                  </w:r>
                </w:p>
              </w:tc>
              <w:tc>
                <w:tcPr>
                  <w:tcW w:w="5446" w:type="dxa"/>
                </w:tcPr>
                <w:p>
                  <w:pPr>
                    <w:shd w:val="clear"/>
                  </w:pPr>
                  <w:r>
                    <w:rPr>
                      <w:rFonts w:hint="eastAsia"/>
                    </w:rPr>
                    <w:t>——</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组织单元（部门/分支）</w:t>
                  </w:r>
                </w:p>
              </w:tc>
              <w:tc>
                <w:tcPr>
                  <w:tcW w:w="5446"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shd w:val="clear"/>
                    <w:rPr>
                      <w:u w:val="single"/>
                    </w:rPr>
                  </w:pPr>
                  <w:r>
                    <w:rPr>
                      <w:rFonts w:hint="eastAsia"/>
                    </w:rPr>
                    <w:sym w:font="Wingdings" w:char="00A8"/>
                  </w:r>
                  <w:r>
                    <w:rPr>
                      <w:rFonts w:hint="eastAsia"/>
                    </w:rPr>
                    <w:t xml:space="preserve">分支机构，如： </w:t>
                  </w:r>
                  <w:r>
                    <w:rPr>
                      <w:rFonts w:hint="eastAsia"/>
                      <w:u w:val="single"/>
                    </w:rPr>
                    <w:t xml:space="preserve">                  </w:t>
                  </w:r>
                </w:p>
                <w:p>
                  <w:pPr>
                    <w:shd w:val="clear"/>
                  </w:pPr>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时间</w:t>
                  </w:r>
                </w:p>
              </w:tc>
              <w:tc>
                <w:tcPr>
                  <w:tcW w:w="5446" w:type="dxa"/>
                </w:tcPr>
                <w:p>
                  <w:pPr>
                    <w:shd w:val="clea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 体系建立以来，</w:t>
                  </w:r>
                  <w:r>
                    <w:rPr>
                      <w:rFonts w:hint="eastAsia"/>
                      <w:lang w:val="en-US" w:eastAsia="zh-CN"/>
                    </w:rPr>
                    <w:t>2021-08-02</w:t>
                  </w:r>
                </w:p>
                <w:p>
                  <w:pPr>
                    <w:shd w:val="clear"/>
                    <w:rPr>
                      <w:rFonts w:hint="eastAsia"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hd w:val="clear"/>
                    <w:rPr>
                      <w:szCs w:val="24"/>
                      <w:highlight w:val="none"/>
                    </w:rPr>
                  </w:pPr>
                  <w:r>
                    <w:rPr>
                      <w:rFonts w:hint="eastAsia"/>
                      <w:highlight w:val="none"/>
                    </w:rPr>
                    <w:t>不适用ISO9001的条款</w:t>
                  </w:r>
                </w:p>
              </w:tc>
              <w:tc>
                <w:tcPr>
                  <w:tcW w:w="5446" w:type="dxa"/>
                </w:tcPr>
                <w:p>
                  <w:pPr>
                    <w:shd w:val="clea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8.3产品和服务的设计和开发</w:t>
                  </w:r>
                </w:p>
              </w:tc>
              <w:tc>
                <w:tcPr>
                  <w:tcW w:w="1686" w:type="dxa"/>
                </w:tcPr>
                <w:p>
                  <w:pPr>
                    <w:shd w:val="clear"/>
                    <w:rPr>
                      <w:rFonts w:hint="default" w:eastAsia="宋体"/>
                      <w:highlight w:val="none"/>
                      <w:lang w:val="en-US" w:eastAsia="zh-CN"/>
                    </w:rPr>
                  </w:pP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hd w:val="clear"/>
                    <w:rPr>
                      <w:strike w:val="0"/>
                      <w:dstrike w:val="0"/>
                      <w:szCs w:val="24"/>
                    </w:rPr>
                  </w:pPr>
                  <w:r>
                    <w:rPr>
                      <w:rFonts w:hint="eastAsia"/>
                      <w:strike w:val="0"/>
                      <w:dstrike w:val="0"/>
                    </w:rPr>
                    <w:t>不适用的理由（可多选）</w:t>
                  </w:r>
                </w:p>
              </w:tc>
              <w:tc>
                <w:tcPr>
                  <w:tcW w:w="5446" w:type="dxa"/>
                  <w:vAlign w:val="center"/>
                </w:tcPr>
                <w:p>
                  <w:pPr>
                    <w:shd w:val="clear"/>
                    <w:rPr>
                      <w:strike w:val="0"/>
                      <w:dstrike w:val="0"/>
                    </w:rPr>
                  </w:pPr>
                  <w:r>
                    <w:rPr>
                      <w:rFonts w:hint="eastAsia"/>
                      <w:strike w:val="0"/>
                      <w:dstrike w:val="0"/>
                    </w:rPr>
                    <w:t xml:space="preserve">□受审核组织没有设计开发的责任    </w:t>
                  </w:r>
                </w:p>
                <w:p>
                  <w:pPr>
                    <w:shd w:val="clear"/>
                    <w:rPr>
                      <w:strike w:val="0"/>
                      <w:dstrike w:val="0"/>
                    </w:rPr>
                  </w:pPr>
                  <w:r>
                    <w:rPr>
                      <w:rFonts w:hint="eastAsia"/>
                      <w:strike w:val="0"/>
                      <w:dstrike w:val="0"/>
                    </w:rPr>
                    <w:t xml:space="preserve">□受审核组织没有设计开发的能力   </w:t>
                  </w:r>
                </w:p>
                <w:p>
                  <w:pPr>
                    <w:shd w:val="clear"/>
                    <w:rPr>
                      <w:strike w:val="0"/>
                      <w:dstrike w:val="0"/>
                    </w:rPr>
                  </w:pPr>
                  <w:r>
                    <w:rPr>
                      <w:rFonts w:hint="eastAsia"/>
                      <w:strike w:val="0"/>
                      <w:dstrike w:val="0"/>
                    </w:rPr>
                    <w:t>□受审核组织没有设计开发修改的权力</w:t>
                  </w:r>
                </w:p>
                <w:p>
                  <w:pPr>
                    <w:shd w:val="clear"/>
                    <w:rPr>
                      <w:strike w:val="0"/>
                      <w:dstrike w:val="0"/>
                    </w:rPr>
                  </w:pPr>
                  <w:r>
                    <w:rPr>
                      <w:rFonts w:hint="eastAsia"/>
                      <w:strike w:val="0"/>
                      <w:dstrike w:val="0"/>
                    </w:rPr>
                    <w:sym w:font="Wingdings 2" w:char="0052"/>
                  </w:r>
                  <w:r>
                    <w:rPr>
                      <w:rFonts w:hint="eastAsia"/>
                      <w:strike w:val="0"/>
                      <w:dstrike w:val="0"/>
                    </w:rPr>
                    <w:t>受审核组织按照</w:t>
                  </w:r>
                  <w:r>
                    <w:rPr>
                      <w:rFonts w:hint="eastAsia"/>
                      <w:strike w:val="0"/>
                      <w:dstrike w:val="0"/>
                    </w:rPr>
                    <w:sym w:font="Wingdings 2" w:char="0052"/>
                  </w:r>
                  <w:r>
                    <w:rPr>
                      <w:rFonts w:hint="eastAsia"/>
                      <w:strike w:val="0"/>
                      <w:dstrike w:val="0"/>
                    </w:rPr>
                    <w:t>顾客</w:t>
                  </w:r>
                  <w:r>
                    <w:rPr>
                      <w:rFonts w:hint="eastAsia"/>
                      <w:strike w:val="0"/>
                      <w:dstrike w:val="0"/>
                    </w:rPr>
                    <w:sym w:font="Wingdings 2" w:char="00A3"/>
                  </w:r>
                  <w:r>
                    <w:rPr>
                      <w:rFonts w:hint="eastAsia"/>
                      <w:strike w:val="0"/>
                      <w:dstrike w:val="0"/>
                    </w:rPr>
                    <w:t>图纸和合同要求提供生产和服务</w:t>
                  </w:r>
                </w:p>
                <w:p>
                  <w:pPr>
                    <w:shd w:val="clear"/>
                    <w:rPr>
                      <w:strike w:val="0"/>
                      <w:dstrike w:val="0"/>
                    </w:rPr>
                  </w:pPr>
                  <w:r>
                    <w:rPr>
                      <w:rFonts w:hint="eastAsia"/>
                      <w:strike w:val="0"/>
                      <w:dstrike w:val="0"/>
                    </w:rPr>
                    <w:t>□受审核组织按照公司总部的技术要求提供生产和服务</w:t>
                  </w:r>
                </w:p>
                <w:p>
                  <w:pPr>
                    <w:shd w:val="clear"/>
                    <w:rPr>
                      <w:strike w:val="0"/>
                      <w:dstrike w:val="0"/>
                    </w:rPr>
                  </w:pPr>
                  <w:r>
                    <w:rPr>
                      <w:rFonts w:ascii="宋体" w:hAnsi="宋体"/>
                      <w:strike w:val="0"/>
                      <w:dstrike w:val="0"/>
                    </w:rPr>
                    <w:fldChar w:fldCharType="begin"/>
                  </w:r>
                  <w:r>
                    <w:rPr>
                      <w:rFonts w:ascii="宋体" w:hAnsi="宋体"/>
                      <w:strike w:val="0"/>
                      <w:dstrike w:val="0"/>
                    </w:rPr>
                    <w:instrText xml:space="preserve"> </w:instrText>
                  </w:r>
                  <w:r>
                    <w:rPr>
                      <w:rFonts w:hint="eastAsia" w:ascii="宋体" w:hAnsi="宋体"/>
                      <w:strike w:val="0"/>
                      <w:dstrike w:val="0"/>
                    </w:rPr>
                    <w:instrText xml:space="preserve">eq \o\ac(□)</w:instrText>
                  </w:r>
                  <w:r>
                    <w:rPr>
                      <w:rFonts w:ascii="宋体" w:hAnsi="宋体"/>
                      <w:strike w:val="0"/>
                      <w:dstrike w:val="0"/>
                    </w:rPr>
                    <w:fldChar w:fldCharType="end"/>
                  </w:r>
                  <w:r>
                    <w:rPr>
                      <w:rFonts w:hint="eastAsia"/>
                      <w:strike w:val="0"/>
                      <w:dstrike w:val="0"/>
                    </w:rPr>
                    <w:t>受审核组织按照传统工艺提供生产和服务</w:t>
                  </w:r>
                </w:p>
                <w:p>
                  <w:pPr>
                    <w:shd w:val="clear"/>
                    <w:rPr>
                      <w:strike w:val="0"/>
                      <w:dstrike w:val="0"/>
                    </w:rPr>
                  </w:pPr>
                  <w:r>
                    <w:rPr>
                      <w:rFonts w:hint="eastAsia"/>
                      <w:strike w:val="0"/>
                      <w:dstrike w:val="0"/>
                    </w:rPr>
                    <w:sym w:font="Wingdings 2" w:char="0052"/>
                  </w:r>
                  <w:r>
                    <w:rPr>
                      <w:rFonts w:hint="eastAsia"/>
                      <w:strike w:val="0"/>
                      <w:dstrike w:val="0"/>
                    </w:rPr>
                    <w:t>其他：</w:t>
                  </w:r>
                  <w:r>
                    <w:rPr>
                      <w:rFonts w:hint="eastAsia"/>
                      <w:strike w:val="0"/>
                      <w:dstrike w:val="0"/>
                      <w:u w:val="single"/>
                      <w:lang w:val="en-US" w:eastAsia="zh-CN"/>
                    </w:rPr>
                    <w:t>不建议做删减，顾客提供的要求也需转化成组织的相关产品过程进行控制，已现场沟通</w:t>
                  </w:r>
                  <w:r>
                    <w:rPr>
                      <w:strike w:val="0"/>
                      <w:dstrike w:val="0"/>
                      <w:u w:val="single"/>
                    </w:rPr>
                    <w:t xml:space="preserve"> </w:t>
                  </w:r>
                </w:p>
              </w:tc>
              <w:tc>
                <w:tcPr>
                  <w:tcW w:w="1686" w:type="dxa"/>
                </w:tcPr>
                <w:p>
                  <w:pPr>
                    <w:shd w:val="clear"/>
                    <w:rPr>
                      <w:rFonts w:hint="eastAsia" w:eastAsia="宋体"/>
                      <w:strike w:val="0"/>
                      <w:dstrike w:val="0"/>
                      <w:lang w:val="en-US" w:eastAsia="zh-CN"/>
                    </w:rPr>
                  </w:pPr>
                  <w:r>
                    <w:rPr>
                      <w:rFonts w:hint="eastAsia"/>
                      <w:strike w:val="0"/>
                      <w:dstrike w:val="0"/>
                      <w:lang w:val="en-US" w:eastAsia="zh-CN"/>
                    </w:rPr>
                    <w:t>不适用</w:t>
                  </w:r>
                </w:p>
              </w:tc>
            </w:tr>
          </w:tbl>
          <w:p>
            <w:pPr>
              <w:shd w:val="clear"/>
            </w:pPr>
          </w:p>
          <w:p>
            <w:pPr>
              <w:shd w:val="clear"/>
              <w:rPr>
                <w:color w:val="000000"/>
                <w:szCs w:val="21"/>
              </w:rPr>
            </w:pPr>
            <w:r>
              <w:rPr>
                <w:rFonts w:hint="eastAsia"/>
                <w:color w:val="000000"/>
                <w:szCs w:val="21"/>
              </w:rPr>
              <w:t>在企业的管理手册中有描述。</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jc w:val="left"/>
            </w:pPr>
            <w:r>
              <w:rPr>
                <w:rFonts w:hint="eastAsia"/>
              </w:rPr>
              <w:t>质量/食品安全管理体系及其过程</w:t>
            </w:r>
          </w:p>
        </w:tc>
        <w:tc>
          <w:tcPr>
            <w:tcW w:w="1055" w:type="dxa"/>
            <w:vMerge w:val="restart"/>
            <w:shd w:val="clear" w:color="auto" w:fill="auto"/>
          </w:tcPr>
          <w:p>
            <w:pPr>
              <w:shd w:val="clear"/>
            </w:pPr>
            <w:r>
              <w:rPr>
                <w:rFonts w:hint="eastAsia"/>
              </w:rPr>
              <w:t xml:space="preserve">Q4.4 F4.4 </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spacing w:before="40" w:after="40"/>
            </w:pPr>
            <w:r>
              <w:rPr>
                <w:rFonts w:hint="eastAsia"/>
              </w:rPr>
              <w:t>QMS</w:t>
            </w:r>
            <w:r>
              <w:rPr>
                <w:rFonts w:hint="eastAsia"/>
                <w:lang w:eastAsia="zh-CN"/>
              </w:rPr>
              <w:t>：</w:t>
            </w:r>
            <w:r>
              <w:rPr>
                <w:rFonts w:hint="eastAsia"/>
              </w:rPr>
              <w:t xml:space="preserve"> </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A3"/>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A3"/>
            </w:r>
            <w:r>
              <w:rPr>
                <w:rFonts w:hint="eastAsia"/>
              </w:rPr>
              <w:t xml:space="preserve">知识保密 </w:t>
            </w:r>
          </w:p>
          <w:p>
            <w:pPr>
              <w:shd w:val="clear"/>
              <w:spacing w:before="40" w:after="40"/>
              <w:rPr>
                <w:rFonts w:hint="default" w:eastAsia="宋体"/>
                <w:lang w:val="en-US" w:eastAsia="zh-CN"/>
              </w:rPr>
            </w:pPr>
            <w:r>
              <w:rPr>
                <w:rFonts w:hint="eastAsia"/>
              </w:rPr>
              <w:sym w:font="Wingdings 2" w:char="00A3"/>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 xml:space="preserve">生产/服务控制 </w:t>
            </w:r>
            <w:r>
              <w:rPr>
                <w:rFonts w:hint="eastAsia"/>
              </w:rPr>
              <w:sym w:font="Wingdings 2" w:char="00A3"/>
            </w:r>
            <w:r>
              <w:rPr>
                <w:rFonts w:hint="eastAsia"/>
              </w:rPr>
              <w:t>其他</w:t>
            </w:r>
            <w:r>
              <w:rPr>
                <w:rFonts w:hint="eastAsia"/>
                <w:lang w:val="en-US" w:eastAsia="zh-CN"/>
              </w:rPr>
              <w:t xml:space="preserve"> </w:t>
            </w:r>
          </w:p>
          <w:p>
            <w:pPr>
              <w:pStyle w:val="6"/>
              <w:shd w:val="clea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□新产品设计开发 □原材料订制 □生产/服务过程 □检验检测 □产品运输 □设备维修</w:t>
            </w:r>
          </w:p>
          <w:p>
            <w:pPr>
              <w:shd w:val="clear"/>
              <w:spacing w:before="40" w:after="40"/>
              <w:jc w:val="left"/>
              <w:rPr>
                <w:rFonts w:hint="eastAsia"/>
                <w:lang w:val="en-US" w:eastAsia="zh-CN"/>
              </w:rPr>
            </w:pPr>
            <w:r>
              <w:rPr>
                <w:rFonts w:hint="eastAsia"/>
              </w:rPr>
              <w:t>□人员培训 □其他</w:t>
            </w:r>
            <w:r>
              <w:rPr>
                <w:rFonts w:hint="eastAsia"/>
                <w:highlight w:val="none"/>
              </w:rPr>
              <w:t xml:space="preserve"> </w:t>
            </w:r>
            <w:r>
              <w:rPr>
                <w:highlight w:val="none"/>
              </w:rPr>
              <w:t xml:space="preserve"> </w:t>
            </w:r>
            <w:r>
              <w:rPr>
                <w:rFonts w:hint="eastAsia"/>
                <w:highlight w:val="none"/>
              </w:rPr>
              <w:t>☑其他—</w:t>
            </w:r>
            <w:r>
              <w:rPr>
                <w:rFonts w:hint="eastAsia"/>
                <w:highlight w:val="none"/>
                <w:lang w:val="en-US" w:eastAsia="zh-CN"/>
              </w:rPr>
              <w:t xml:space="preserve">无 </w:t>
            </w:r>
          </w:p>
          <w:p>
            <w:pPr>
              <w:shd w:val="clear"/>
              <w:spacing w:before="40" w:after="40"/>
              <w:jc w:val="left"/>
              <w:rPr>
                <w:rFonts w:hint="eastAsia"/>
              </w:rPr>
            </w:pPr>
          </w:p>
          <w:p>
            <w:pPr>
              <w:shd w:val="clear"/>
              <w:spacing w:before="40" w:after="40"/>
              <w:jc w:val="left"/>
              <w:rPr>
                <w:rFonts w:hint="eastAsia" w:eastAsia="宋体"/>
                <w:lang w:eastAsia="zh-CN"/>
              </w:rPr>
            </w:pPr>
            <w:r>
              <w:rPr>
                <w:rFonts w:hint="eastAsia"/>
              </w:rPr>
              <w:t>FSMS</w:t>
            </w:r>
            <w:r>
              <w:rPr>
                <w:rFonts w:hint="eastAsia"/>
                <w:lang w:eastAsia="zh-CN"/>
              </w:rPr>
              <w:t>：</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52"/>
            </w:r>
            <w:r>
              <w:rPr>
                <w:rFonts w:hint="eastAsia"/>
              </w:rPr>
              <w:t>特种设备管理 ☑控制措施组合确认  ☑PRP和危害控制措施的效果验证  □其他</w:t>
            </w:r>
            <w:r>
              <w:rPr>
                <w:rFonts w:hint="eastAsia"/>
                <w:lang w:eastAsia="zh-CN"/>
              </w:rPr>
              <w:t>——</w:t>
            </w:r>
            <w:r>
              <w:rPr>
                <w:rFonts w:hint="eastAsia"/>
                <w:lang w:val="en-US" w:eastAsia="zh-CN"/>
              </w:rPr>
              <w:t>车辆管理</w:t>
            </w:r>
          </w:p>
          <w:p>
            <w:pPr>
              <w:pStyle w:val="6"/>
              <w:shd w:val="clear"/>
              <w:rPr>
                <w:rFonts w:hint="default"/>
                <w:lang w:val="en-US" w:eastAsia="zh-CN"/>
              </w:rP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 xml:space="preserve">□建立FSMS □危害分析 □制订PRP和OPRP、HACCP计划 □生产/服务过程  □产品运输 </w:t>
            </w:r>
          </w:p>
          <w:p>
            <w:pPr>
              <w:shd w:val="clear"/>
              <w:spacing w:before="40" w:after="40"/>
              <w:jc w:val="left"/>
              <w:rPr>
                <w:highlight w:val="yellow"/>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highlight w:val="none"/>
                <w:lang w:val="en-US" w:eastAsia="zh-CN"/>
              </w:rPr>
              <w:t>无</w:t>
            </w:r>
          </w:p>
          <w:p>
            <w:pPr>
              <w:shd w:val="clea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领导作用与承诺</w:t>
            </w:r>
          </w:p>
        </w:tc>
        <w:tc>
          <w:tcPr>
            <w:tcW w:w="1055" w:type="dxa"/>
            <w:vMerge w:val="restart"/>
            <w:shd w:val="clear" w:color="auto" w:fill="auto"/>
          </w:tcPr>
          <w:p>
            <w:pPr>
              <w:shd w:val="clear"/>
            </w:pPr>
            <w:r>
              <w:rPr>
                <w:rFonts w:hint="eastAsia"/>
              </w:rPr>
              <w:t>Q5.1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rPr>
              <w:t>管理手册第5.1章和“总经理岗位职责”</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与最高管理者沟通其领导作用与承诺：</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对质量管理体系的有效性承担责任；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确保制定质量管理体系的质量方针和质量目标，并与组织的环境和战略方向相一致；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确保质量管理体系要求融入组织的业务过程；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促进使用过程方法和基于风险的思维；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确保质量管理体系所需的资源是可用的；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沟通有效的质量管理和符合质量管理体系要求的重要性；</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确保质量管理体系实现其预期结果；</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促使员工积极参与、指导和支持他们为质量管理体系的有效性作出贡献；</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推动改进；</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支持其他相关管理者在其职责范围内发挥领导作用。</w:t>
            </w:r>
          </w:p>
          <w:p>
            <w:pPr>
              <w:shd w:val="clear"/>
              <w:rPr>
                <w:color w:val="000000"/>
                <w:szCs w:val="21"/>
              </w:rPr>
            </w:pP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领导作用与承诺</w:t>
            </w:r>
          </w:p>
        </w:tc>
        <w:tc>
          <w:tcPr>
            <w:tcW w:w="1055" w:type="dxa"/>
            <w:vMerge w:val="restart"/>
            <w:shd w:val="clear" w:color="auto" w:fill="auto"/>
          </w:tcPr>
          <w:p>
            <w:pPr>
              <w:shd w:val="clear"/>
            </w:pPr>
            <w:r>
              <w:rPr>
                <w:rFonts w:hint="eastAsia"/>
              </w:rPr>
              <w:t>F5.1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rPr>
              <w:t>管理手册第5.1章和“总经理岗位职责”</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与最高管理者沟通其领导作用与承诺：</w:t>
            </w:r>
          </w:p>
          <w:p>
            <w:pPr>
              <w:shd w:val="clear"/>
              <w:rPr>
                <w:color w:val="000000"/>
                <w:szCs w:val="21"/>
                <w:shd w:val="clear" w:color="FFFFFF" w:fill="D9D9D9"/>
              </w:rPr>
            </w:pPr>
            <w:r>
              <w:rPr>
                <w:rFonts w:hint="eastAsia"/>
                <w:color w:val="000000"/>
                <w:szCs w:val="21"/>
                <w:shd w:val="clear" w:color="FFFFFF" w:fill="D9D9D9"/>
              </w:rPr>
              <w:t>2018版标准</w:t>
            </w:r>
          </w:p>
          <w:p>
            <w:pPr>
              <w:shd w:val="clea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hd w:val="clear"/>
              <w:snapToGrid w:val="0"/>
              <w:spacing w:line="240" w:lineRule="atLeast"/>
              <w:rPr>
                <w:rFonts w:ascii="黑体" w:eastAsia="黑体"/>
                <w:szCs w:val="21"/>
              </w:rPr>
            </w:pPr>
          </w:p>
          <w:p>
            <w:pPr>
              <w:shd w:val="clea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以顾客为关注焦点</w:t>
            </w:r>
          </w:p>
          <w:p>
            <w:pPr>
              <w:shd w:val="clear"/>
            </w:pPr>
          </w:p>
        </w:tc>
        <w:tc>
          <w:tcPr>
            <w:tcW w:w="1055" w:type="dxa"/>
            <w:vMerge w:val="restart"/>
            <w:shd w:val="clear" w:color="auto" w:fill="auto"/>
          </w:tcPr>
          <w:p>
            <w:pPr>
              <w:shd w:val="clear"/>
            </w:pPr>
            <w:r>
              <w:rPr>
                <w:rFonts w:hint="eastAsia"/>
              </w:rPr>
              <w:t>Q5.1.2</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最高管理者应证实其以顾客为关注焦点的领导作用和承诺：</w:t>
            </w:r>
          </w:p>
          <w:p>
            <w:pPr>
              <w:shd w:val="clear"/>
              <w:rPr>
                <w:color w:val="000000"/>
                <w:szCs w:val="21"/>
              </w:rPr>
            </w:pPr>
            <w:r>
              <w:rPr>
                <w:rFonts w:hint="eastAsia"/>
                <w:color w:val="000000"/>
                <w:szCs w:val="21"/>
              </w:rPr>
              <w:t xml:space="preserve">a）确定、理解并持续地满足顾客要求以及适用的法律法规要求； </w:t>
            </w:r>
          </w:p>
          <w:p>
            <w:pPr>
              <w:shd w:val="clear"/>
              <w:rPr>
                <w:color w:val="000000"/>
                <w:szCs w:val="21"/>
              </w:rPr>
            </w:pPr>
            <w:r>
              <w:rPr>
                <w:rFonts w:hint="eastAsia"/>
                <w:color w:val="000000"/>
                <w:szCs w:val="21"/>
              </w:rPr>
              <w:t xml:space="preserve">b）确定和应对能够影响产品和服务的符合性以及增强顾客满意能力的风险和机遇； </w:t>
            </w:r>
          </w:p>
          <w:p>
            <w:pPr>
              <w:shd w:val="clear"/>
              <w:rPr>
                <w:color w:val="000000"/>
                <w:szCs w:val="21"/>
              </w:rPr>
            </w:pPr>
            <w:r>
              <w:rPr>
                <w:rFonts w:hint="eastAsia"/>
                <w:color w:val="000000"/>
                <w:szCs w:val="21"/>
              </w:rPr>
              <w:t xml:space="preserve">c）始终致力于增强顾客满意。 </w:t>
            </w:r>
          </w:p>
          <w:p>
            <w:pPr>
              <w:shd w:val="clear"/>
              <w:rPr>
                <w:color w:val="000000"/>
                <w:szCs w:val="21"/>
              </w:rPr>
            </w:pPr>
            <w:r>
              <w:rPr>
                <w:rFonts w:hint="eastAsia"/>
              </w:rPr>
              <w:t>通过的方式——</w:t>
            </w:r>
          </w:p>
          <w:p>
            <w:pPr>
              <w:shd w:val="clea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质量/食品安全方针</w:t>
            </w:r>
          </w:p>
        </w:tc>
        <w:tc>
          <w:tcPr>
            <w:tcW w:w="1055" w:type="dxa"/>
            <w:vMerge w:val="restart"/>
            <w:shd w:val="clear" w:color="auto" w:fill="auto"/>
          </w:tcPr>
          <w:p>
            <w:pPr>
              <w:shd w:val="clear"/>
            </w:pPr>
            <w:r>
              <w:rPr>
                <w:rFonts w:hint="eastAsia"/>
              </w:rPr>
              <w:t>Q5.2</w:t>
            </w:r>
          </w:p>
          <w:p>
            <w:pPr>
              <w:shd w:val="clear"/>
              <w:rPr>
                <w:rFonts w:hint="eastAsia"/>
              </w:rPr>
            </w:pPr>
            <w:r>
              <w:rPr>
                <w:rFonts w:hint="eastAsia"/>
              </w:rPr>
              <w:t>F5.2</w:t>
            </w:r>
          </w:p>
          <w:p>
            <w:pPr>
              <w:pStyle w:val="6"/>
              <w:shd w:val="clear"/>
              <w:rPr>
                <w:rFonts w:hint="default" w:eastAsia="宋体"/>
                <w:lang w:val="en-US" w:eastAsia="zh-CN"/>
              </w:rP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管理手册第5.2章和“0.2 公司方针和目标”</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u w:val="single"/>
              </w:rPr>
            </w:pPr>
            <w:r>
              <w:rPr>
                <w:rFonts w:hint="eastAsia"/>
                <w:color w:val="000000"/>
                <w:szCs w:val="21"/>
              </w:rPr>
              <w:t xml:space="preserve"> </w:t>
            </w:r>
            <w:r>
              <w:rPr>
                <w:rFonts w:hint="eastAsia"/>
              </w:rPr>
              <w:t>最高管理者制定了文件化的管理体系方针：</w:t>
            </w:r>
          </w:p>
          <w:p>
            <w:pPr>
              <w:widowControl/>
              <w:spacing w:before="40"/>
              <w:jc w:val="left"/>
              <w:rPr>
                <w:rFonts w:hint="eastAsia"/>
                <w:b/>
                <w:bCs/>
                <w:color w:val="000000"/>
                <w:szCs w:val="18"/>
                <w:highlight w:val="none"/>
                <w:lang w:val="en-US" w:eastAsia="zh-CN"/>
              </w:rPr>
            </w:pPr>
          </w:p>
          <w:p>
            <w:pPr>
              <w:widowControl/>
              <w:spacing w:before="40"/>
              <w:jc w:val="left"/>
              <w:rPr>
                <w:rFonts w:hint="eastAsia"/>
                <w:b/>
                <w:bCs/>
                <w:color w:val="000000"/>
                <w:szCs w:val="18"/>
                <w:highlight w:val="none"/>
                <w:u w:val="single"/>
                <w:lang w:val="en-US" w:eastAsia="zh-CN"/>
              </w:rPr>
            </w:pPr>
            <w:r>
              <w:rPr>
                <w:rFonts w:hint="eastAsia"/>
                <w:b/>
                <w:bCs/>
                <w:color w:val="000000"/>
                <w:szCs w:val="18"/>
                <w:highlight w:val="none"/>
                <w:lang w:val="en-US" w:eastAsia="zh-CN"/>
              </w:rPr>
              <w:t>质量方针：</w:t>
            </w:r>
            <w:r>
              <w:rPr>
                <w:rFonts w:hint="eastAsia"/>
                <w:b/>
                <w:bCs/>
                <w:color w:val="000000"/>
                <w:szCs w:val="18"/>
                <w:highlight w:val="none"/>
                <w:u w:val="single"/>
                <w:lang w:val="en-US" w:eastAsia="zh-CN"/>
              </w:rPr>
              <w:t>科学管理、持续改进、精益求精，为顾客提供优质的产品和满意的服务</w:t>
            </w:r>
          </w:p>
          <w:p>
            <w:pPr>
              <w:widowControl/>
              <w:spacing w:before="40"/>
              <w:jc w:val="left"/>
              <w:rPr>
                <w:rFonts w:hint="eastAsia"/>
                <w:b/>
                <w:bCs/>
                <w:color w:val="000000"/>
                <w:szCs w:val="18"/>
                <w:highlight w:val="none"/>
                <w:u w:val="single"/>
                <w:lang w:val="en-US" w:eastAsia="zh-CN"/>
              </w:rPr>
            </w:pPr>
            <w:r>
              <w:rPr>
                <w:rFonts w:hint="eastAsia"/>
                <w:b/>
                <w:bCs/>
                <w:color w:val="000000"/>
                <w:szCs w:val="18"/>
                <w:highlight w:val="none"/>
                <w:u w:val="single"/>
                <w:lang w:val="en-US" w:eastAsia="zh-CN"/>
              </w:rPr>
              <w:t>食品安全方针：顾客的需求就是我们的目标，顾客的健康就是我们的追溯，不合格的原料不仅如此企业，不合格的产品不出售卖。</w:t>
            </w:r>
          </w:p>
          <w:p>
            <w:pPr>
              <w:shd w:val="clear"/>
              <w:spacing w:line="500" w:lineRule="exact"/>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shd w:val="clea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w:t>
            </w:r>
            <w:r>
              <w:rPr>
                <w:rFonts w:hint="eastAsia"/>
                <w:color w:val="0000FF"/>
              </w:rPr>
              <w:t>制定和评审</w:t>
            </w:r>
            <w:r>
              <w:rPr>
                <w:rFonts w:hint="eastAsia"/>
                <w:lang w:val="en-GB"/>
              </w:rPr>
              <w:t>相应的质量</w:t>
            </w:r>
            <w:r>
              <w:rPr>
                <w:rFonts w:hint="eastAsia"/>
              </w:rPr>
              <w:t>/食品安全</w:t>
            </w:r>
            <w:r>
              <w:rPr>
                <w:rFonts w:hint="eastAsia"/>
                <w:lang w:val="en-GB"/>
              </w:rPr>
              <w:t>目标提供了框架。</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pPr>
              <w:shd w:val="clear"/>
            </w:pPr>
            <w:r>
              <w:rPr>
                <w:rFonts w:hint="eastAsia"/>
              </w:rPr>
              <w:t>☑包括满足适用食品安全要求的承诺，包括立法/执法要求和顾客的相互同意的食品安全要求（FSMS）</w:t>
            </w:r>
          </w:p>
          <w:p>
            <w:pPr>
              <w:shd w:val="clear"/>
              <w:rPr>
                <w:rFonts w:hint="eastAsia" w:eastAsia="宋体"/>
                <w:lang w:val="en-GB"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w:t>
            </w:r>
            <w:r>
              <w:rPr>
                <w:rFonts w:hint="eastAsia"/>
                <w:lang w:val="en-US" w:eastAsia="zh-CN"/>
              </w:rPr>
              <w:t>管理体系</w:t>
            </w:r>
            <w:r>
              <w:rPr>
                <w:rFonts w:hint="eastAsia"/>
              </w:rPr>
              <w:t>的承诺</w:t>
            </w:r>
            <w:r>
              <w:rPr>
                <w:rFonts w:hint="eastAsia"/>
                <w:lang w:eastAsia="zh-CN"/>
              </w:rPr>
              <w:t>；</w:t>
            </w:r>
          </w:p>
          <w:p>
            <w:pPr>
              <w:shd w:val="clear"/>
            </w:pPr>
            <w:r>
              <w:rPr>
                <w:rFonts w:hint="eastAsia"/>
              </w:rPr>
              <w:t>☑应对内部和外部沟通（FSMS）</w:t>
            </w:r>
          </w:p>
          <w:p>
            <w:pPr>
              <w:shd w:val="clear"/>
              <w:rPr>
                <w:color w:val="0000FF"/>
              </w:rPr>
            </w:pPr>
            <w:r>
              <w:rPr>
                <w:rFonts w:hint="eastAsia"/>
              </w:rPr>
              <w:t>☑解决需求确保食品安全相关的能力（FSMS）</w:t>
            </w:r>
          </w:p>
          <w:p>
            <w:pPr>
              <w:pStyle w:val="6"/>
              <w:shd w:val="clear"/>
            </w:pP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shd w:val="clea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A8"/>
            </w:r>
            <w:r>
              <w:rPr>
                <w:rFonts w:hint="eastAsia"/>
              </w:rPr>
              <w:t>其他</w:t>
            </w:r>
            <w:r>
              <w:rPr>
                <w:rFonts w:hint="eastAsia"/>
                <w:lang w:eastAsia="zh-CN"/>
              </w:rPr>
              <w:t>——</w:t>
            </w:r>
            <w:r>
              <w:rPr>
                <w:rFonts w:hint="eastAsia"/>
                <w:lang w:val="en-US" w:eastAsia="zh-CN"/>
              </w:rPr>
              <w:t>合同、招投标等</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组织的岗位、职责和权限</w:t>
            </w:r>
          </w:p>
          <w:p>
            <w:pPr>
              <w:shd w:val="clear"/>
            </w:pPr>
          </w:p>
        </w:tc>
        <w:tc>
          <w:tcPr>
            <w:tcW w:w="1055" w:type="dxa"/>
            <w:vMerge w:val="restart"/>
            <w:shd w:val="clear" w:color="auto" w:fill="auto"/>
          </w:tcPr>
          <w:p>
            <w:pPr>
              <w:shd w:val="clear"/>
            </w:pPr>
            <w:r>
              <w:rPr>
                <w:rFonts w:hint="eastAsia"/>
              </w:rPr>
              <w:t>Q5.3</w:t>
            </w:r>
          </w:p>
          <w:p>
            <w:pPr>
              <w:shd w:val="clear"/>
              <w:rPr>
                <w:rFonts w:hint="eastAsia"/>
              </w:rPr>
            </w:pPr>
            <w:r>
              <w:rPr>
                <w:rFonts w:hint="eastAsia"/>
              </w:rPr>
              <w:t>F5.3</w:t>
            </w:r>
          </w:p>
          <w:p>
            <w:pPr>
              <w:pStyle w:val="6"/>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8"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最高管理者确定了组织架构及相关岗位的职责、权限，并进行了全员的沟通和理解；</w:t>
            </w:r>
          </w:p>
          <w:p>
            <w:pPr>
              <w:shd w:val="clear"/>
            </w:pPr>
            <w:r>
              <w:rPr>
                <w:rFonts w:hint="eastAsia"/>
              </w:rPr>
              <w:t>如：</w:t>
            </w:r>
          </w:p>
          <w:p>
            <w:pPr>
              <w:pStyle w:val="6"/>
              <w:shd w:val="clea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1864"/>
              <w:gridCol w:w="233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过程名称</w:t>
                  </w:r>
                </w:p>
              </w:tc>
              <w:tc>
                <w:tcPr>
                  <w:tcW w:w="1864" w:type="dxa"/>
                </w:tcPr>
                <w:p>
                  <w:pPr>
                    <w:shd w:val="clear"/>
                  </w:pPr>
                  <w:r>
                    <w:rPr>
                      <w:rFonts w:hint="eastAsia"/>
                    </w:rPr>
                    <w:t>主管部门名称</w:t>
                  </w:r>
                </w:p>
              </w:tc>
              <w:tc>
                <w:tcPr>
                  <w:tcW w:w="2335" w:type="dxa"/>
                </w:tcPr>
                <w:p>
                  <w:pPr>
                    <w:shd w:val="clear"/>
                  </w:pPr>
                  <w:r>
                    <w:rPr>
                      <w:rFonts w:hint="eastAsia"/>
                    </w:rPr>
                    <w:t>过程名称</w:t>
                  </w:r>
                </w:p>
              </w:tc>
              <w:tc>
                <w:tcPr>
                  <w:tcW w:w="2261" w:type="dxa"/>
                </w:tcPr>
                <w:p>
                  <w:pPr>
                    <w:shd w:val="clear"/>
                  </w:pPr>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食品安全管理体系</w:t>
                  </w:r>
                  <w:r>
                    <w:rPr>
                      <w:rFonts w:hint="eastAsia"/>
                      <w:lang w:val="en-US" w:eastAsia="zh-CN"/>
                    </w:rPr>
                    <w:t>/HACCP体系</w:t>
                  </w:r>
                  <w:r>
                    <w:rPr>
                      <w:rFonts w:hint="eastAsia"/>
                    </w:rPr>
                    <w:t>策划和推动</w:t>
                  </w:r>
                </w:p>
              </w:tc>
              <w:tc>
                <w:tcPr>
                  <w:tcW w:w="1864" w:type="dxa"/>
                </w:tcPr>
                <w:p>
                  <w:pPr>
                    <w:shd w:val="clear"/>
                    <w:rPr>
                      <w:rFonts w:hint="default" w:eastAsia="宋体"/>
                      <w:lang w:val="en-US" w:eastAsia="zh-CN"/>
                    </w:rPr>
                  </w:pPr>
                  <w:r>
                    <w:rPr>
                      <w:rFonts w:hint="eastAsia"/>
                    </w:rPr>
                    <w:t>食品安全小组</w:t>
                  </w:r>
                </w:p>
              </w:tc>
              <w:tc>
                <w:tcPr>
                  <w:tcW w:w="2335" w:type="dxa"/>
                  <w:vAlign w:val="top"/>
                </w:tcPr>
                <w:p>
                  <w:pPr>
                    <w:shd w:val="clear"/>
                    <w:rPr>
                      <w:rFonts w:ascii="Times New Roman" w:hAnsi="Times New Roman" w:eastAsia="宋体" w:cs="Times New Roman"/>
                      <w:kern w:val="2"/>
                      <w:sz w:val="21"/>
                      <w:lang w:val="en-US" w:eastAsia="zh-CN" w:bidi="ar-SA"/>
                    </w:rPr>
                  </w:pPr>
                  <w:r>
                    <w:rPr>
                      <w:rFonts w:hint="eastAsia"/>
                    </w:rPr>
                    <w:t>生产/服务设计开发过程</w:t>
                  </w:r>
                </w:p>
              </w:tc>
              <w:tc>
                <w:tcPr>
                  <w:tcW w:w="2261"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Align w:val="top"/>
                </w:tcPr>
                <w:p>
                  <w:pPr>
                    <w:shd w:val="clear"/>
                    <w:rPr>
                      <w:rFonts w:hint="eastAsia" w:ascii="Times New Roman" w:hAnsi="Times New Roman" w:eastAsia="宋体" w:cs="Times New Roman"/>
                      <w:kern w:val="2"/>
                      <w:sz w:val="21"/>
                      <w:lang w:val="en-US" w:eastAsia="zh-CN" w:bidi="ar-SA"/>
                    </w:rPr>
                  </w:pPr>
                  <w:r>
                    <w:rPr>
                      <w:rFonts w:hint="eastAsia"/>
                    </w:rPr>
                    <w:t>质量管理体系策划和推动</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rPr>
                    <w:t>食品安全小组</w:t>
                  </w:r>
                  <w:bookmarkStart w:id="2" w:name="_GoBack"/>
                  <w:bookmarkEnd w:id="2"/>
                </w:p>
              </w:tc>
              <w:tc>
                <w:tcPr>
                  <w:tcW w:w="2335" w:type="dxa"/>
                  <w:vAlign w:val="top"/>
                </w:tcPr>
                <w:p>
                  <w:pPr>
                    <w:shd w:val="clear"/>
                    <w:rPr>
                      <w:rFonts w:hint="eastAsia" w:ascii="Times New Roman" w:hAnsi="Times New Roman" w:eastAsia="宋体" w:cs="Times New Roman"/>
                      <w:kern w:val="2"/>
                      <w:sz w:val="21"/>
                      <w:lang w:val="en-US" w:eastAsia="zh-CN" w:bidi="ar-SA"/>
                    </w:rPr>
                  </w:pPr>
                  <w:r>
                    <w:rPr>
                      <w:rFonts w:hint="eastAsia"/>
                    </w:rPr>
                    <w:t>生产/服务放行过程</w:t>
                  </w:r>
                </w:p>
              </w:tc>
              <w:tc>
                <w:tcPr>
                  <w:tcW w:w="2261"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采购控制</w:t>
                  </w:r>
                </w:p>
              </w:tc>
              <w:tc>
                <w:tcPr>
                  <w:tcW w:w="1864" w:type="dxa"/>
                </w:tcPr>
                <w:p>
                  <w:pPr>
                    <w:shd w:val="clear"/>
                    <w:rPr>
                      <w:rFonts w:hint="eastAsia" w:eastAsia="宋体"/>
                      <w:lang w:eastAsia="zh-CN"/>
                    </w:rPr>
                  </w:pPr>
                  <w:r>
                    <w:rPr>
                      <w:rFonts w:hint="eastAsia"/>
                      <w:lang w:val="en-US" w:eastAsia="zh-CN"/>
                    </w:rPr>
                    <w:t>供销部</w:t>
                  </w:r>
                </w:p>
              </w:tc>
              <w:tc>
                <w:tcPr>
                  <w:tcW w:w="2335" w:type="dxa"/>
                </w:tcPr>
                <w:p>
                  <w:pPr>
                    <w:shd w:val="clear"/>
                  </w:pPr>
                  <w:r>
                    <w:rPr>
                      <w:rFonts w:hint="eastAsia"/>
                    </w:rPr>
                    <w:t>FSMS验证和确认</w:t>
                  </w:r>
                </w:p>
              </w:tc>
              <w:tc>
                <w:tcPr>
                  <w:tcW w:w="2261" w:type="dxa"/>
                </w:tcPr>
                <w:p>
                  <w:pPr>
                    <w:shd w:val="clear"/>
                  </w:pPr>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人员健康</w:t>
                  </w:r>
                </w:p>
              </w:tc>
              <w:tc>
                <w:tcPr>
                  <w:tcW w:w="1864" w:type="dxa"/>
                </w:tcPr>
                <w:p>
                  <w:pPr>
                    <w:shd w:val="clear"/>
                    <w:rPr>
                      <w:rFonts w:hint="eastAsia" w:eastAsia="宋体"/>
                      <w:lang w:eastAsia="zh-CN"/>
                    </w:rPr>
                  </w:pPr>
                  <w:r>
                    <w:rPr>
                      <w:rFonts w:hint="eastAsia"/>
                      <w:lang w:eastAsia="zh-CN"/>
                    </w:rPr>
                    <w:t>综合</w:t>
                  </w:r>
                  <w:r>
                    <w:rPr>
                      <w:rFonts w:hint="eastAsia"/>
                      <w:lang w:val="en-US" w:eastAsia="zh-CN"/>
                    </w:rPr>
                    <w:t>部</w:t>
                  </w:r>
                </w:p>
              </w:tc>
              <w:tc>
                <w:tcPr>
                  <w:tcW w:w="2335" w:type="dxa"/>
                </w:tcPr>
                <w:p>
                  <w:pPr>
                    <w:shd w:val="clear"/>
                  </w:pPr>
                  <w:r>
                    <w:rPr>
                      <w:rFonts w:hint="eastAsia"/>
                    </w:rPr>
                    <w:t>基础设施</w:t>
                  </w:r>
                </w:p>
              </w:tc>
              <w:tc>
                <w:tcPr>
                  <w:tcW w:w="2261" w:type="dxa"/>
                </w:tcPr>
                <w:p>
                  <w:pPr>
                    <w:shd w:val="clear"/>
                    <w:rPr>
                      <w:rFonts w:hint="eastAsia" w:eastAsia="宋体"/>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Align w:val="top"/>
                </w:tcPr>
                <w:p>
                  <w:pPr>
                    <w:shd w:val="clear"/>
                    <w:rPr>
                      <w:rFonts w:ascii="Times New Roman" w:hAnsi="Times New Roman" w:eastAsia="宋体" w:cs="Times New Roman"/>
                      <w:kern w:val="2"/>
                      <w:sz w:val="21"/>
                      <w:lang w:val="en-US" w:eastAsia="zh-CN" w:bidi="ar-SA"/>
                    </w:rPr>
                  </w:pPr>
                  <w:r>
                    <w:rPr>
                      <w:rFonts w:hint="eastAsia"/>
                    </w:rPr>
                    <w:t>外部供方控制</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供销部</w:t>
                  </w:r>
                </w:p>
              </w:tc>
              <w:tc>
                <w:tcPr>
                  <w:tcW w:w="2335" w:type="dxa"/>
                  <w:vAlign w:val="top"/>
                </w:tcPr>
                <w:p>
                  <w:pPr>
                    <w:shd w:val="clear"/>
                    <w:rPr>
                      <w:rFonts w:ascii="Times New Roman" w:hAnsi="Times New Roman" w:eastAsia="宋体" w:cs="Times New Roman"/>
                      <w:kern w:val="2"/>
                      <w:sz w:val="21"/>
                      <w:lang w:val="en-US" w:eastAsia="zh-CN" w:bidi="ar-SA"/>
                    </w:rPr>
                  </w:pPr>
                  <w:r>
                    <w:rPr>
                      <w:rFonts w:hint="eastAsia"/>
                    </w:rPr>
                    <w:t>OPRP和HACCP的实施</w:t>
                  </w:r>
                </w:p>
              </w:tc>
              <w:tc>
                <w:tcPr>
                  <w:tcW w:w="2261"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生产部、质检部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rPr>
                      <w:rFonts w:ascii="Times New Roman" w:hAnsi="Times New Roman" w:eastAsia="宋体" w:cs="Times New Roman"/>
                      <w:kern w:val="2"/>
                      <w:sz w:val="21"/>
                      <w:lang w:val="en-US" w:eastAsia="zh-CN" w:bidi="ar-SA"/>
                    </w:rPr>
                  </w:pPr>
                  <w:r>
                    <w:rPr>
                      <w:rFonts w:hint="eastAsia"/>
                    </w:rPr>
                    <w:t>顾客满意调查分析</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供销部</w:t>
                  </w:r>
                </w:p>
              </w:tc>
              <w:tc>
                <w:tcPr>
                  <w:tcW w:w="2335" w:type="dxa"/>
                  <w:vAlign w:val="top"/>
                </w:tcPr>
                <w:p>
                  <w:pPr>
                    <w:shd w:val="clear"/>
                    <w:rPr>
                      <w:rFonts w:ascii="Times New Roman" w:hAnsi="Times New Roman" w:eastAsia="宋体" w:cs="Times New Roman"/>
                      <w:kern w:val="2"/>
                      <w:sz w:val="21"/>
                      <w:lang w:val="en-US" w:eastAsia="zh-CN" w:bidi="ar-SA"/>
                    </w:rPr>
                  </w:pPr>
                  <w:r>
                    <w:rPr>
                      <w:rFonts w:hint="eastAsia"/>
                    </w:rPr>
                    <w:t>生产/服务提供过程</w:t>
                  </w:r>
                </w:p>
              </w:tc>
              <w:tc>
                <w:tcPr>
                  <w:tcW w:w="0" w:type="auto"/>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供销部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rPr>
                      <w:rFonts w:ascii="Times New Roman" w:hAnsi="Times New Roman" w:eastAsia="宋体" w:cs="Times New Roman"/>
                      <w:kern w:val="2"/>
                      <w:sz w:val="21"/>
                      <w:lang w:val="en-US" w:eastAsia="zh-CN" w:bidi="ar-SA"/>
                    </w:rPr>
                  </w:pPr>
                </w:p>
              </w:tc>
              <w:tc>
                <w:tcPr>
                  <w:tcW w:w="1864" w:type="dxa"/>
                  <w:vAlign w:val="top"/>
                </w:tcPr>
                <w:p>
                  <w:pPr>
                    <w:shd w:val="clear"/>
                    <w:rPr>
                      <w:rFonts w:hint="default" w:ascii="Times New Roman" w:hAnsi="Times New Roman" w:eastAsia="宋体" w:cs="Times New Roman"/>
                      <w:kern w:val="2"/>
                      <w:sz w:val="21"/>
                      <w:lang w:val="en-US" w:eastAsia="zh-CN" w:bidi="ar-SA"/>
                    </w:rPr>
                  </w:pPr>
                </w:p>
              </w:tc>
              <w:tc>
                <w:tcPr>
                  <w:tcW w:w="2335" w:type="dxa"/>
                  <w:vAlign w:val="top"/>
                </w:tcPr>
                <w:p>
                  <w:pPr>
                    <w:shd w:val="clear"/>
                    <w:rPr>
                      <w:rFonts w:ascii="Times New Roman" w:hAnsi="Times New Roman" w:eastAsia="宋体" w:cs="Times New Roman"/>
                      <w:kern w:val="2"/>
                      <w:sz w:val="21"/>
                      <w:lang w:val="en-US" w:eastAsia="zh-CN" w:bidi="ar-SA"/>
                    </w:rPr>
                  </w:pPr>
                </w:p>
              </w:tc>
              <w:tc>
                <w:tcPr>
                  <w:tcW w:w="0" w:type="auto"/>
                  <w:vAlign w:val="top"/>
                </w:tcPr>
                <w:p>
                  <w:pPr>
                    <w:shd w:val="clear"/>
                    <w:rPr>
                      <w:rFonts w:hint="eastAsia" w:ascii="Times New Roman" w:hAnsi="Times New Roman" w:eastAsia="宋体" w:cs="Times New Roman"/>
                      <w:kern w:val="2"/>
                      <w:sz w:val="21"/>
                      <w:lang w:val="en-US" w:eastAsia="zh-CN" w:bidi="ar-SA"/>
                    </w:rP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3" w:hRule="atLeast"/>
        </w:trPr>
        <w:tc>
          <w:tcPr>
            <w:tcW w:w="1518" w:type="dxa"/>
            <w:shd w:val="clear" w:color="auto" w:fill="auto"/>
          </w:tcPr>
          <w:p>
            <w:pPr>
              <w:shd w:val="clear"/>
            </w:pPr>
          </w:p>
        </w:tc>
        <w:tc>
          <w:tcPr>
            <w:tcW w:w="1055" w:type="dxa"/>
            <w:shd w:val="clear" w:color="auto" w:fill="auto"/>
          </w:tcPr>
          <w:p>
            <w:pPr>
              <w:shd w:val="clear"/>
            </w:pPr>
          </w:p>
        </w:tc>
        <w:tc>
          <w:tcPr>
            <w:tcW w:w="893" w:type="dxa"/>
            <w:shd w:val="clear" w:color="auto" w:fill="auto"/>
          </w:tcPr>
          <w:p>
            <w:pPr>
              <w:shd w:val="clear"/>
            </w:pPr>
          </w:p>
        </w:tc>
        <w:tc>
          <w:tcPr>
            <w:tcW w:w="9373" w:type="dxa"/>
            <w:shd w:val="clear" w:color="auto" w:fill="auto"/>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lang w:val="en-US" w:eastAsia="zh-CN"/>
              </w:rPr>
              <w:t>/食品安全小组组长</w:t>
            </w:r>
            <w:r>
              <w:rPr>
                <w:rFonts w:hint="eastAsia"/>
              </w:rPr>
              <w:t>：</w:t>
            </w:r>
            <w:r>
              <w:rPr>
                <w:rFonts w:hint="eastAsia"/>
                <w:u w:val="single"/>
              </w:rPr>
              <w:t xml:space="preserve">  </w:t>
            </w:r>
            <w:r>
              <w:rPr>
                <w:rFonts w:hint="eastAsia"/>
                <w:u w:val="single"/>
                <w:lang w:val="en-US" w:eastAsia="zh-CN"/>
              </w:rPr>
              <w:t>方美红 女士</w:t>
            </w:r>
            <w:r>
              <w:rPr>
                <w:rFonts w:hint="eastAsia"/>
                <w:u w:val="single"/>
              </w:rPr>
              <w:t xml:space="preserve">      </w:t>
            </w:r>
            <w:r>
              <w:rPr>
                <w:rFonts w:hint="eastAsia"/>
              </w:rPr>
              <w:t>，</w:t>
            </w:r>
          </w:p>
          <w:p>
            <w:pPr>
              <w:shd w:val="clear"/>
            </w:pPr>
          </w:p>
          <w:p>
            <w:pPr>
              <w:shd w:val="clear"/>
            </w:pPr>
            <w:r>
              <w:t>食品安全组长负责：</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lang w:val="en-US" w:eastAsia="zh-CN"/>
              </w:rPr>
              <w:t>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lang w:val="en-US" w:eastAsia="zh-CN"/>
              </w:rPr>
              <w:t>体系</w:t>
            </w:r>
            <w:r>
              <w:t>的有效性和适宜性。</w:t>
            </w:r>
          </w:p>
          <w:p>
            <w:pPr>
              <w:shd w:val="clear"/>
            </w:pPr>
          </w:p>
          <w:p>
            <w:pPr>
              <w:shd w:val="clear"/>
            </w:pPr>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5" w:type="dxa"/>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rPr>
                <w:color w:val="000000"/>
                <w:szCs w:val="21"/>
              </w:rPr>
            </w:pPr>
            <w:r>
              <w:rPr>
                <w:rFonts w:hint="eastAsia"/>
                <w:color w:val="000000"/>
                <w:szCs w:val="21"/>
              </w:rPr>
              <w:t>应对风险和机遇的措施</w:t>
            </w:r>
          </w:p>
          <w:p>
            <w:pPr>
              <w:shd w:val="clear"/>
            </w:pPr>
          </w:p>
        </w:tc>
        <w:tc>
          <w:tcPr>
            <w:tcW w:w="1055" w:type="dxa"/>
            <w:vMerge w:val="restart"/>
            <w:shd w:val="clear" w:color="auto" w:fill="auto"/>
          </w:tcPr>
          <w:p>
            <w:pPr>
              <w:shd w:val="clear"/>
              <w:rPr>
                <w:color w:val="000000"/>
                <w:szCs w:val="21"/>
              </w:rPr>
            </w:pPr>
            <w:r>
              <w:rPr>
                <w:rFonts w:hint="eastAsia"/>
                <w:color w:val="000000"/>
                <w:szCs w:val="21"/>
              </w:rPr>
              <w:t>Q6.1</w:t>
            </w:r>
          </w:p>
          <w:p>
            <w:pPr>
              <w:shd w:val="clear"/>
            </w:pPr>
            <w:r>
              <w:rPr>
                <w:rFonts w:hint="eastAsia"/>
                <w:color w:val="000000"/>
                <w:szCs w:val="21"/>
              </w:rPr>
              <w:t>F6.1.1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hint="eastAsia"/>
              </w:rPr>
              <w:sym w:font="Wingdings" w:char="00A8"/>
            </w:r>
            <w:r>
              <w:rPr>
                <w:rFonts w:hint="eastAsia"/>
              </w:rPr>
              <w:t>《</w:t>
            </w:r>
            <w:r>
              <w:rPr>
                <w:rFonts w:hint="eastAsia"/>
                <w:color w:val="000000"/>
                <w:szCs w:val="21"/>
              </w:rPr>
              <w:t>风险和机遇</w:t>
            </w:r>
            <w:r>
              <w:rPr>
                <w:rFonts w:hint="eastAsia"/>
                <w:color w:val="000000"/>
                <w:szCs w:val="21"/>
                <w:lang w:val="en-US" w:eastAsia="zh-CN"/>
              </w:rPr>
              <w:t>应对</w:t>
            </w:r>
            <w:r>
              <w:rPr>
                <w:rFonts w:hint="eastAsia"/>
              </w:rPr>
              <w:t>控制程序》、</w:t>
            </w:r>
            <w:r>
              <w:rPr>
                <w:rFonts w:hint="eastAsia"/>
              </w:rPr>
              <w:sym w:font="Wingdings" w:char="00FE"/>
            </w:r>
            <w:r>
              <w:rPr>
                <w:rFonts w:hint="eastAsia"/>
              </w:rPr>
              <w:t>管理手册第6.1章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6"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Pr>
              <w:shd w:val="clear"/>
            </w:pPr>
          </w:p>
          <w:p>
            <w:pPr>
              <w:shd w:val="clear"/>
            </w:pPr>
            <w:r>
              <w:rPr>
                <w:rFonts w:hint="eastAsia"/>
              </w:rPr>
              <w:t xml:space="preserve">应对风险的措施类型包括： </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Pr>
              <w:shd w:val="clear"/>
            </w:pPr>
          </w:p>
          <w:p>
            <w:pPr>
              <w:shd w:val="clear"/>
            </w:pPr>
            <w:r>
              <w:rPr>
                <w:rFonts w:hint="eastAsia"/>
              </w:rPr>
              <w:t>列举2~3项应对主要风险的描述：</w:t>
            </w:r>
          </w:p>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shd w:val="clear"/>
                  </w:pPr>
                  <w:r>
                    <w:rPr>
                      <w:rFonts w:hint="eastAsia"/>
                    </w:rPr>
                    <w:t>主要的风险描述</w:t>
                  </w:r>
                </w:p>
              </w:tc>
              <w:tc>
                <w:tcPr>
                  <w:tcW w:w="4073" w:type="dxa"/>
                </w:tcPr>
                <w:p>
                  <w:pPr>
                    <w:shd w:val="clear"/>
                    <w:rPr>
                      <w:szCs w:val="24"/>
                    </w:rPr>
                  </w:pPr>
                  <w:r>
                    <w:rPr>
                      <w:rFonts w:hint="eastAsia"/>
                    </w:rPr>
                    <w:t>应对措施</w:t>
                  </w:r>
                </w:p>
              </w:tc>
              <w:tc>
                <w:tcPr>
                  <w:tcW w:w="1717" w:type="dxa"/>
                </w:tcPr>
                <w:p>
                  <w:pPr>
                    <w:shd w:val="clea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shd w:val="clear"/>
                    <w:rPr>
                      <w:rFonts w:hint="default" w:eastAsia="宋体"/>
                      <w:szCs w:val="24"/>
                      <w:lang w:val="en-US" w:eastAsia="zh-CN"/>
                    </w:rPr>
                  </w:pPr>
                  <w:r>
                    <w:rPr>
                      <w:rFonts w:hint="eastAsia"/>
                      <w:szCs w:val="24"/>
                      <w:lang w:val="en-US" w:eastAsia="zh-CN"/>
                    </w:rPr>
                    <w:t>客户订单控制不当，导致库存量挤压</w:t>
                  </w:r>
                </w:p>
              </w:tc>
              <w:tc>
                <w:tcPr>
                  <w:tcW w:w="4073" w:type="dxa"/>
                </w:tcPr>
                <w:p>
                  <w:pPr>
                    <w:pStyle w:val="2"/>
                    <w:numPr>
                      <w:ilvl w:val="0"/>
                      <w:numId w:val="1"/>
                    </w:numPr>
                    <w:shd w:val="clear"/>
                    <w:ind w:left="0" w:leftChars="0" w:firstLine="0" w:firstLineChars="0"/>
                    <w:rPr>
                      <w:rFonts w:hint="default"/>
                      <w:lang w:val="en-US" w:eastAsia="zh-CN"/>
                    </w:rPr>
                  </w:pPr>
                  <w:r>
                    <w:rPr>
                      <w:rFonts w:hint="eastAsia"/>
                      <w:lang w:val="en-US" w:eastAsia="zh-CN"/>
                    </w:rPr>
                    <w:t>定期评审顾客需求；</w:t>
                  </w:r>
                </w:p>
                <w:p>
                  <w:pPr>
                    <w:pStyle w:val="2"/>
                    <w:numPr>
                      <w:ilvl w:val="0"/>
                      <w:numId w:val="1"/>
                    </w:numPr>
                    <w:shd w:val="clear"/>
                    <w:ind w:left="0" w:leftChars="0" w:firstLine="0" w:firstLineChars="0"/>
                    <w:rPr>
                      <w:rFonts w:hint="default"/>
                      <w:lang w:val="en-US" w:eastAsia="zh-CN"/>
                    </w:rPr>
                  </w:pPr>
                  <w:r>
                    <w:rPr>
                      <w:rFonts w:hint="eastAsia"/>
                      <w:lang w:val="en-US" w:eastAsia="zh-CN"/>
                    </w:rPr>
                    <w:t>开发新客户，降低个别难售卖产品，降低库存</w:t>
                  </w:r>
                </w:p>
              </w:tc>
              <w:tc>
                <w:tcPr>
                  <w:tcW w:w="1717" w:type="dxa"/>
                </w:tcPr>
                <w:p>
                  <w:pPr>
                    <w:shd w:val="clea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shd w:val="clear"/>
                    <w:rPr>
                      <w:rFonts w:hint="default" w:eastAsia="宋体"/>
                      <w:szCs w:val="24"/>
                      <w:lang w:val="en-US" w:eastAsia="zh-CN"/>
                    </w:rPr>
                  </w:pPr>
                  <w:r>
                    <w:rPr>
                      <w:rFonts w:hint="eastAsia"/>
                      <w:szCs w:val="24"/>
                      <w:lang w:val="en-US" w:eastAsia="zh-CN"/>
                    </w:rPr>
                    <w:t>运输控制不当导致产品变质</w:t>
                  </w:r>
                </w:p>
              </w:tc>
              <w:tc>
                <w:tcPr>
                  <w:tcW w:w="4073" w:type="dxa"/>
                </w:tcPr>
                <w:p>
                  <w:pPr>
                    <w:pStyle w:val="2"/>
                    <w:numPr>
                      <w:ilvl w:val="0"/>
                      <w:numId w:val="2"/>
                    </w:numPr>
                    <w:shd w:val="clear"/>
                    <w:ind w:leftChars="0"/>
                    <w:rPr>
                      <w:rFonts w:hint="default"/>
                      <w:lang w:val="en-US" w:eastAsia="zh-CN"/>
                    </w:rPr>
                  </w:pPr>
                  <w:r>
                    <w:rPr>
                      <w:rFonts w:hint="eastAsia"/>
                      <w:lang w:val="en-US" w:eastAsia="zh-CN"/>
                    </w:rPr>
                    <w:t>冷冻冷藏运输；</w:t>
                  </w:r>
                </w:p>
                <w:p>
                  <w:pPr>
                    <w:pStyle w:val="2"/>
                    <w:numPr>
                      <w:ilvl w:val="0"/>
                      <w:numId w:val="2"/>
                    </w:numPr>
                    <w:shd w:val="clear"/>
                    <w:ind w:leftChars="0"/>
                    <w:rPr>
                      <w:rFonts w:hint="default"/>
                      <w:lang w:val="en-US" w:eastAsia="zh-CN"/>
                    </w:rPr>
                  </w:pPr>
                  <w:r>
                    <w:rPr>
                      <w:rFonts w:hint="eastAsia"/>
                      <w:lang w:val="en-US" w:eastAsia="zh-CN"/>
                    </w:rPr>
                    <w:t>通过建立体系、程序文件等严格控制运输产品贮存、发货过程</w:t>
                  </w:r>
                </w:p>
              </w:tc>
              <w:tc>
                <w:tcPr>
                  <w:tcW w:w="1717" w:type="dxa"/>
                </w:tcPr>
                <w:p>
                  <w:pPr>
                    <w:shd w:val="clear"/>
                  </w:pPr>
                  <w:r>
                    <w:rPr>
                      <w:rFonts w:hint="eastAsia"/>
                      <w:lang w:val="en-US" w:eastAsia="zh-CN"/>
                    </w:rPr>
                    <w:t>基本有效</w:t>
                  </w:r>
                </w:p>
              </w:tc>
            </w:tr>
          </w:tbl>
          <w:p>
            <w:pPr>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shd w:val="clear"/>
            </w:pPr>
            <w:r>
              <w:rPr>
                <w:rFonts w:hint="eastAsia"/>
              </w:rPr>
              <w:t xml:space="preserve">应对机遇的措施类型包括： </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A8"/>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A8"/>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pPr>
              <w:shd w:val="clear"/>
            </w:pPr>
            <w:r>
              <w:rPr>
                <w:rFonts w:hint="eastAsia"/>
              </w:rPr>
              <w:t>列举2~3项应对重要机遇的描述：</w:t>
            </w:r>
          </w:p>
          <w:tbl>
            <w:tblPr>
              <w:tblStyle w:val="10"/>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hd w:val="clear"/>
                    <w:rPr>
                      <w:highlight w:val="none"/>
                    </w:rPr>
                  </w:pPr>
                  <w:r>
                    <w:rPr>
                      <w:rFonts w:hint="eastAsia"/>
                      <w:highlight w:val="none"/>
                    </w:rPr>
                    <w:t>主要的机遇描述</w:t>
                  </w:r>
                </w:p>
              </w:tc>
              <w:tc>
                <w:tcPr>
                  <w:tcW w:w="3833" w:type="dxa"/>
                </w:tcPr>
                <w:p>
                  <w:pPr>
                    <w:shd w:val="clear"/>
                    <w:rPr>
                      <w:szCs w:val="24"/>
                      <w:highlight w:val="none"/>
                    </w:rPr>
                  </w:pPr>
                  <w:r>
                    <w:rPr>
                      <w:rFonts w:hint="eastAsia"/>
                      <w:highlight w:val="none"/>
                    </w:rPr>
                    <w:t>应对措施</w:t>
                  </w:r>
                </w:p>
              </w:tc>
              <w:tc>
                <w:tcPr>
                  <w:tcW w:w="1717" w:type="dxa"/>
                </w:tcPr>
                <w:p>
                  <w:pPr>
                    <w:shd w:val="clea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2972" w:type="dxa"/>
                </w:tcPr>
                <w:p>
                  <w:pPr>
                    <w:shd w:val="clear"/>
                    <w:rPr>
                      <w:rFonts w:hint="default" w:eastAsia="宋体"/>
                      <w:highlight w:val="none"/>
                      <w:lang w:val="en-US" w:eastAsia="zh-CN"/>
                    </w:rPr>
                  </w:pPr>
                  <w:r>
                    <w:rPr>
                      <w:rFonts w:hint="eastAsia"/>
                      <w:highlight w:val="none"/>
                      <w:lang w:val="en-US" w:eastAsia="zh-CN"/>
                    </w:rPr>
                    <w:t>安徽特色产品、市场空间比较大</w:t>
                  </w:r>
                </w:p>
              </w:tc>
              <w:tc>
                <w:tcPr>
                  <w:tcW w:w="3833" w:type="dxa"/>
                </w:tcPr>
                <w:p>
                  <w:pPr>
                    <w:pStyle w:val="8"/>
                    <w:numPr>
                      <w:ilvl w:val="0"/>
                      <w:numId w:val="0"/>
                    </w:numPr>
                    <w:shd w:val="clear"/>
                    <w:jc w:val="left"/>
                    <w:rPr>
                      <w:rFonts w:hint="default"/>
                      <w:highlight w:val="none"/>
                      <w:lang w:val="en-US" w:eastAsia="zh-CN"/>
                    </w:rPr>
                  </w:pPr>
                  <w:r>
                    <w:rPr>
                      <w:rFonts w:hint="eastAsia"/>
                      <w:highlight w:val="none"/>
                      <w:lang w:val="en-US" w:eastAsia="zh-CN"/>
                    </w:rPr>
                    <w:t>1.及时了解市场行业动态</w:t>
                  </w:r>
                </w:p>
                <w:p>
                  <w:pPr>
                    <w:pStyle w:val="8"/>
                    <w:numPr>
                      <w:ilvl w:val="0"/>
                      <w:numId w:val="0"/>
                    </w:numPr>
                    <w:shd w:val="clear"/>
                    <w:jc w:val="left"/>
                    <w:rPr>
                      <w:rFonts w:hint="default"/>
                      <w:highlight w:val="none"/>
                      <w:lang w:val="en-US" w:eastAsia="zh-CN"/>
                    </w:rPr>
                  </w:pPr>
                  <w:r>
                    <w:rPr>
                      <w:rFonts w:hint="eastAsia"/>
                      <w:highlight w:val="none"/>
                      <w:lang w:val="en-US" w:eastAsia="zh-CN"/>
                    </w:rPr>
                    <w:t>2.通过建立体系加强内部管理</w:t>
                  </w:r>
                </w:p>
              </w:tc>
              <w:tc>
                <w:tcPr>
                  <w:tcW w:w="1717" w:type="dxa"/>
                </w:tcPr>
                <w:p>
                  <w:pPr>
                    <w:shd w:val="clea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hd w:val="clear"/>
                    <w:rPr>
                      <w:szCs w:val="24"/>
                      <w:highlight w:val="none"/>
                    </w:rPr>
                  </w:pPr>
                </w:p>
              </w:tc>
              <w:tc>
                <w:tcPr>
                  <w:tcW w:w="3833" w:type="dxa"/>
                </w:tcPr>
                <w:p>
                  <w:pPr>
                    <w:shd w:val="clear"/>
                    <w:rPr>
                      <w:highlight w:val="none"/>
                    </w:rPr>
                  </w:pPr>
                </w:p>
              </w:tc>
              <w:tc>
                <w:tcPr>
                  <w:tcW w:w="1717"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hd w:val="clear"/>
                    <w:rPr>
                      <w:szCs w:val="24"/>
                      <w:highlight w:val="none"/>
                    </w:rPr>
                  </w:pPr>
                </w:p>
              </w:tc>
              <w:tc>
                <w:tcPr>
                  <w:tcW w:w="3833" w:type="dxa"/>
                </w:tcPr>
                <w:p>
                  <w:pPr>
                    <w:shd w:val="clear"/>
                    <w:rPr>
                      <w:highlight w:val="none"/>
                    </w:rPr>
                  </w:pPr>
                </w:p>
              </w:tc>
              <w:tc>
                <w:tcPr>
                  <w:tcW w:w="1717" w:type="dxa"/>
                </w:tcPr>
                <w:p>
                  <w:pPr>
                    <w:shd w:val="clear"/>
                    <w:rPr>
                      <w:highlight w:val="none"/>
                    </w:rPr>
                  </w:pPr>
                </w:p>
              </w:tc>
            </w:tr>
          </w:tbl>
          <w:p>
            <w:pPr>
              <w:shd w:val="clear"/>
            </w:pPr>
          </w:p>
          <w:p>
            <w:pPr>
              <w:pStyle w:val="2"/>
              <w:shd w:val="clear"/>
            </w:pPr>
          </w:p>
          <w:p>
            <w:pPr>
              <w:pStyle w:val="2"/>
              <w:shd w:val="clear"/>
            </w:pPr>
          </w:p>
          <w:p>
            <w:pPr>
              <w:pStyle w:val="2"/>
              <w:shd w:val="clear"/>
            </w:pPr>
          </w:p>
          <w:p>
            <w:pPr>
              <w:shd w:val="clear"/>
              <w:rPr>
                <w:rFonts w:hint="eastAsia" w:eastAsia="宋体"/>
                <w:lang w:eastAsia="zh-CN"/>
              </w:rPr>
            </w:pPr>
            <w:r>
              <w:rPr>
                <w:rFonts w:hint="eastAsia"/>
              </w:rPr>
              <w:t>FSMS</w:t>
            </w:r>
            <w:r>
              <w:rPr>
                <w:rFonts w:hint="eastAsia"/>
                <w:lang w:eastAsia="zh-CN"/>
              </w:rPr>
              <w:t>：</w:t>
            </w:r>
          </w:p>
          <w:p>
            <w:pPr>
              <w:shd w:val="clea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Pr>
              <w:shd w:val="clear"/>
            </w:pPr>
          </w:p>
          <w:p>
            <w:pPr>
              <w:shd w:val="clea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 xml:space="preserve">食物中毒 </w:t>
            </w:r>
            <w:r>
              <w:rPr>
                <w:rFonts w:hint="eastAsia"/>
                <w:u w:val="single"/>
              </w:rPr>
              <w:sym w:font="Wingdings" w:char="00A8"/>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pPr>
              <w:shd w:val="clear"/>
            </w:pPr>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FE"/>
            </w:r>
            <w:r>
              <w:rPr>
                <w:rFonts w:hint="eastAsia"/>
                <w:u w:val="single"/>
              </w:rPr>
              <w:t xml:space="preserve">车辆故障   </w:t>
            </w:r>
            <w:r>
              <w:rPr>
                <w:rFonts w:hint="eastAsia"/>
                <w:u w:val="single"/>
              </w:rPr>
              <w:sym w:font="Wingdings" w:char="00FE"/>
            </w:r>
            <w:r>
              <w:rPr>
                <w:rFonts w:hint="eastAsia"/>
                <w:u w:val="single"/>
              </w:rPr>
              <w:t xml:space="preserve">其他—食品供应链的突变            </w:t>
            </w:r>
          </w:p>
          <w:p>
            <w:pPr>
              <w:shd w:val="clear"/>
            </w:pP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pPr>
              <w:shd w:val="clear"/>
            </w:pPr>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1518" w:type="dxa"/>
            <w:vMerge w:val="restart"/>
            <w:shd w:val="clear" w:color="auto" w:fill="auto"/>
          </w:tcPr>
          <w:p>
            <w:pPr>
              <w:shd w:val="clear"/>
            </w:pPr>
          </w:p>
        </w:tc>
        <w:tc>
          <w:tcPr>
            <w:tcW w:w="1055" w:type="dxa"/>
            <w:shd w:val="clear" w:color="auto" w:fill="auto"/>
          </w:tcPr>
          <w:p>
            <w:pPr>
              <w:shd w:val="clear"/>
            </w:pPr>
            <w:r>
              <w:rPr>
                <w:rFonts w:hint="eastAsia"/>
                <w:color w:val="000000"/>
                <w:szCs w:val="21"/>
              </w:rPr>
              <w:t>F6.1.2</w:t>
            </w:r>
          </w:p>
        </w:tc>
        <w:tc>
          <w:tcPr>
            <w:tcW w:w="893" w:type="dxa"/>
            <w:shd w:val="clear" w:color="auto" w:fill="auto"/>
          </w:tcPr>
          <w:p>
            <w:pPr>
              <w:shd w:val="clear"/>
            </w:pPr>
            <w:r>
              <w:rPr>
                <w:rFonts w:hint="eastAsia"/>
              </w:rPr>
              <w:t>运行证据</w:t>
            </w:r>
          </w:p>
        </w:tc>
        <w:tc>
          <w:tcPr>
            <w:tcW w:w="9373" w:type="dxa"/>
            <w:shd w:val="clear" w:color="auto" w:fill="auto"/>
          </w:tcPr>
          <w:p>
            <w:pPr>
              <w:shd w:val="clear"/>
              <w:rPr>
                <w:rFonts w:ascii="CIDFont+F5" w:hAnsi="CIDFont+F5" w:eastAsia="CIDFont+F5"/>
              </w:rPr>
            </w:pPr>
            <w:r>
              <w:rPr>
                <w:rFonts w:hint="eastAsia" w:ascii="CIDFont+F5" w:hAnsi="CIDFont+F5" w:eastAsia="CIDFont+F5"/>
              </w:rPr>
              <w:t>该组织策划了：</w:t>
            </w:r>
          </w:p>
          <w:p>
            <w:pPr>
              <w:shd w:val="clea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lang w:val="en-US" w:eastAsia="zh-CN"/>
              </w:rPr>
              <w:t>《风险和机遇及其应对措施跟进表》；</w:t>
            </w:r>
          </w:p>
          <w:p>
            <w:pPr>
              <w:shd w:val="clear"/>
              <w:jc w:val="left"/>
              <w:rPr>
                <w:rFonts w:ascii="CIDFont+F5" w:hAnsi="CIDFont+F5" w:eastAsia="CIDFont+F5"/>
              </w:rPr>
            </w:pPr>
            <w:r>
              <w:rPr>
                <w:rFonts w:hint="eastAsia" w:ascii="CIDFont+F5" w:hAnsi="CIDFont+F5" w:eastAsia="CIDFont+F5"/>
              </w:rPr>
              <w:t>b) 并进行了:</w:t>
            </w:r>
          </w:p>
          <w:p>
            <w:pPr>
              <w:shd w:val="clea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1518" w:type="dxa"/>
            <w:vMerge w:val="continue"/>
            <w:shd w:val="clear" w:color="auto" w:fill="auto"/>
          </w:tcPr>
          <w:p>
            <w:pPr>
              <w:shd w:val="clear"/>
            </w:pPr>
          </w:p>
        </w:tc>
        <w:tc>
          <w:tcPr>
            <w:tcW w:w="1055" w:type="dxa"/>
            <w:shd w:val="clear" w:color="auto" w:fill="auto"/>
          </w:tcPr>
          <w:p>
            <w:pPr>
              <w:shd w:val="clear"/>
            </w:pPr>
            <w:r>
              <w:rPr>
                <w:rFonts w:hint="eastAsia"/>
                <w:color w:val="000000"/>
                <w:szCs w:val="21"/>
              </w:rPr>
              <w:t>F6.1.3</w:t>
            </w:r>
          </w:p>
        </w:tc>
        <w:tc>
          <w:tcPr>
            <w:tcW w:w="893" w:type="dxa"/>
            <w:shd w:val="clear" w:color="auto" w:fill="auto"/>
          </w:tcPr>
          <w:p>
            <w:pPr>
              <w:shd w:val="clear"/>
            </w:pPr>
            <w:r>
              <w:rPr>
                <w:rFonts w:hint="eastAsia"/>
              </w:rPr>
              <w:t>运行证据</w:t>
            </w:r>
          </w:p>
        </w:tc>
        <w:tc>
          <w:tcPr>
            <w:tcW w:w="9373" w:type="dxa"/>
            <w:shd w:val="clear" w:color="auto" w:fill="auto"/>
          </w:tcPr>
          <w:p>
            <w:pPr>
              <w:shd w:val="clear"/>
              <w:jc w:val="left"/>
              <w:rPr>
                <w:rFonts w:ascii="CIDFont+F5" w:hAnsi="CIDFont+F5" w:eastAsia="CIDFont+F5"/>
              </w:rPr>
            </w:pPr>
            <w:r>
              <w:rPr>
                <w:rFonts w:hint="eastAsia" w:ascii="CIDFont+F5" w:hAnsi="CIDFont+F5" w:eastAsia="CIDFont+F5"/>
              </w:rPr>
              <w:t>该组织为应对风险和机遇而采取的行动与以下方面相称：</w:t>
            </w:r>
          </w:p>
          <w:p>
            <w:pPr>
              <w:shd w:val="clea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rPr>
                <w:color w:val="000000"/>
                <w:szCs w:val="21"/>
                <w:highlight w:val="none"/>
              </w:rPr>
            </w:pPr>
            <w:r>
              <w:rPr>
                <w:rFonts w:hint="eastAsia"/>
                <w:color w:val="000000"/>
                <w:szCs w:val="21"/>
                <w:highlight w:val="none"/>
              </w:rPr>
              <w:t>质量/食品安全目标及其实现的策划</w:t>
            </w:r>
          </w:p>
          <w:p>
            <w:pPr>
              <w:shd w:val="clear"/>
              <w:rPr>
                <w:highlight w:val="none"/>
              </w:rPr>
            </w:pPr>
          </w:p>
        </w:tc>
        <w:tc>
          <w:tcPr>
            <w:tcW w:w="1055" w:type="dxa"/>
            <w:vMerge w:val="restart"/>
            <w:shd w:val="clear" w:color="auto" w:fill="auto"/>
          </w:tcPr>
          <w:p>
            <w:pPr>
              <w:shd w:val="clear"/>
              <w:rPr>
                <w:color w:val="000000"/>
                <w:szCs w:val="21"/>
                <w:highlight w:val="none"/>
              </w:rPr>
            </w:pPr>
            <w:r>
              <w:rPr>
                <w:rFonts w:hint="eastAsia"/>
                <w:color w:val="000000"/>
                <w:szCs w:val="21"/>
                <w:highlight w:val="none"/>
              </w:rPr>
              <w:t>Q6.2</w:t>
            </w:r>
          </w:p>
          <w:p>
            <w:pPr>
              <w:shd w:val="clear"/>
              <w:rPr>
                <w:color w:val="000000"/>
                <w:szCs w:val="21"/>
                <w:highlight w:val="none"/>
              </w:rPr>
            </w:pPr>
            <w:r>
              <w:rPr>
                <w:rFonts w:hint="eastAsia"/>
                <w:color w:val="000000"/>
                <w:szCs w:val="21"/>
                <w:highlight w:val="none"/>
              </w:rPr>
              <w:t>F6.2</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w:t>
            </w:r>
            <w:r>
              <w:rPr>
                <w:rFonts w:hint="eastAsia"/>
                <w:highlight w:val="none"/>
                <w:lang w:val="en-US" w:eastAsia="zh-CN"/>
              </w:rPr>
              <w:t>质量和</w:t>
            </w:r>
            <w:r>
              <w:rPr>
                <w:rFonts w:hint="eastAsia"/>
                <w:color w:val="000000"/>
                <w:szCs w:val="21"/>
                <w:highlight w:val="none"/>
                <w:lang w:val="en-US" w:eastAsia="zh-CN"/>
              </w:rPr>
              <w:t>食品安全目标及考核结果统计</w:t>
            </w:r>
            <w:r>
              <w:rPr>
                <w:rFonts w:hint="eastAsia"/>
                <w:highlight w:val="none"/>
              </w:rPr>
              <w:t>》</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highlight w:val="none"/>
              </w:rPr>
            </w:pPr>
            <w:r>
              <w:rPr>
                <w:rFonts w:hint="eastAsia"/>
                <w:highlight w:val="none"/>
              </w:rPr>
              <w:t>组织建立了与方针一致的文件化的管理目标。为实现总的质量</w:t>
            </w:r>
            <w:r>
              <w:rPr>
                <w:rFonts w:hint="eastAsia" w:ascii="宋体" w:hAnsi="宋体"/>
                <w:szCs w:val="21"/>
                <w:highlight w:val="none"/>
              </w:rPr>
              <w:t>/食品安全</w:t>
            </w:r>
            <w:r>
              <w:rPr>
                <w:rFonts w:hint="eastAsia"/>
                <w:highlight w:val="none"/>
              </w:rPr>
              <w:t>目标而建立的各层级质量</w:t>
            </w:r>
            <w:r>
              <w:rPr>
                <w:rFonts w:hint="eastAsia" w:ascii="宋体" w:hAnsi="宋体"/>
                <w:szCs w:val="21"/>
                <w:highlight w:val="none"/>
              </w:rPr>
              <w:t>/食品安全</w:t>
            </w:r>
            <w:r>
              <w:rPr>
                <w:rFonts w:hint="eastAsia"/>
                <w:highlight w:val="none"/>
              </w:rPr>
              <w:t>目标具体、有针对性、可测量并且可实现。</w:t>
            </w:r>
          </w:p>
          <w:p>
            <w:pPr>
              <w:shd w:val="clear"/>
              <w:rPr>
                <w:rFonts w:hint="eastAsia"/>
                <w:highlight w:val="none"/>
              </w:rPr>
            </w:pPr>
            <w:r>
              <w:rPr>
                <w:rFonts w:hint="eastAsia"/>
                <w:highlight w:val="none"/>
              </w:rPr>
              <w:t>总质量</w:t>
            </w:r>
            <w:r>
              <w:rPr>
                <w:rFonts w:hint="eastAsia" w:ascii="宋体" w:hAnsi="宋体"/>
                <w:szCs w:val="21"/>
                <w:highlight w:val="none"/>
              </w:rPr>
              <w:t>/食品安全</w:t>
            </w:r>
            <w:r>
              <w:rPr>
                <w:rFonts w:hint="eastAsia"/>
                <w:highlight w:val="none"/>
              </w:rPr>
              <w:t>目标实现情况的评价，及其测量方法是：</w:t>
            </w:r>
          </w:p>
          <w:p>
            <w:pPr>
              <w:pStyle w:val="2"/>
              <w:rPr>
                <w:rFonts w:hint="eastAsia"/>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1216"/>
              <w:gridCol w:w="2420"/>
              <w:gridCol w:w="3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90" w:type="dxa"/>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目标</w:t>
                  </w:r>
                </w:p>
              </w:tc>
              <w:tc>
                <w:tcPr>
                  <w:tcW w:w="1216" w:type="dxa"/>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考核频次</w:t>
                  </w:r>
                </w:p>
              </w:tc>
              <w:tc>
                <w:tcPr>
                  <w:tcW w:w="2420" w:type="dxa"/>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计算方法</w:t>
                  </w:r>
                </w:p>
              </w:tc>
              <w:tc>
                <w:tcPr>
                  <w:tcW w:w="3012" w:type="dxa"/>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color w:val="000000"/>
                      <w:szCs w:val="18"/>
                      <w:highlight w:val="none"/>
                    </w:rPr>
                  </w:pPr>
                  <w:r>
                    <w:rPr>
                      <w:rFonts w:hint="eastAsia"/>
                      <w:color w:val="000000"/>
                      <w:szCs w:val="18"/>
                      <w:highlight w:val="none"/>
                    </w:rPr>
                    <w:t>（审核周期</w:t>
                  </w:r>
                  <w:r>
                    <w:rPr>
                      <w:rFonts w:hint="eastAsia"/>
                      <w:color w:val="000000"/>
                      <w:szCs w:val="18"/>
                      <w:highlight w:val="none"/>
                      <w:lang w:val="en-US" w:eastAsia="zh-CN"/>
                    </w:rPr>
                    <w:t>2021.08-2022.01</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090" w:type="dxa"/>
                </w:tcPr>
                <w:p>
                  <w:pPr>
                    <w:pStyle w:val="19"/>
                    <w:numPr>
                      <w:ilvl w:val="0"/>
                      <w:numId w:val="0"/>
                    </w:numPr>
                    <w:spacing w:line="240" w:lineRule="auto"/>
                    <w:ind w:leftChars="0"/>
                    <w:jc w:val="both"/>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成品合格率达100%；</w:t>
                  </w:r>
                </w:p>
              </w:tc>
              <w:tc>
                <w:tcPr>
                  <w:tcW w:w="1216" w:type="dxa"/>
                  <w:vAlign w:val="center"/>
                </w:tcPr>
                <w:p>
                  <w:pPr>
                    <w:pStyle w:val="19"/>
                    <w:numPr>
                      <w:ilvl w:val="0"/>
                      <w:numId w:val="0"/>
                    </w:numPr>
                    <w:ind w:left="0" w:leftChars="0" w:firstLine="0" w:firstLineChars="0"/>
                    <w:jc w:val="center"/>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按订单交付</w:t>
                  </w:r>
                </w:p>
              </w:tc>
              <w:tc>
                <w:tcPr>
                  <w:tcW w:w="2420" w:type="dxa"/>
                  <w:vAlign w:val="center"/>
                </w:tcPr>
                <w:p>
                  <w:pPr>
                    <w:pStyle w:val="19"/>
                    <w:numPr>
                      <w:ilvl w:val="0"/>
                      <w:numId w:val="0"/>
                    </w:numPr>
                    <w:ind w:left="0" w:leftChars="0" w:firstLine="0" w:firstLineChars="0"/>
                    <w:jc w:val="both"/>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成品交验合格数÷产品交验总数x100%</w:t>
                  </w:r>
                </w:p>
              </w:tc>
              <w:tc>
                <w:tcPr>
                  <w:tcW w:w="301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2021.08-2021.12，目标未完成，2022.01月目标完成；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090" w:type="dxa"/>
                </w:tcPr>
                <w:p>
                  <w:pPr>
                    <w:pStyle w:val="19"/>
                    <w:numPr>
                      <w:ilvl w:val="0"/>
                      <w:numId w:val="0"/>
                    </w:numPr>
                    <w:spacing w:line="240" w:lineRule="auto"/>
                    <w:ind w:leftChars="0"/>
                    <w:jc w:val="both"/>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客户满意率≥95%；</w:t>
                  </w:r>
                </w:p>
              </w:tc>
              <w:tc>
                <w:tcPr>
                  <w:tcW w:w="1216" w:type="dxa"/>
                  <w:vAlign w:val="center"/>
                </w:tcPr>
                <w:p>
                  <w:pPr>
                    <w:pStyle w:val="19"/>
                    <w:numPr>
                      <w:ilvl w:val="0"/>
                      <w:numId w:val="0"/>
                    </w:numPr>
                    <w:ind w:left="0" w:leftChars="0" w:firstLine="0" w:firstLineChars="0"/>
                    <w:jc w:val="center"/>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每季度统计</w:t>
                  </w:r>
                </w:p>
              </w:tc>
              <w:tc>
                <w:tcPr>
                  <w:tcW w:w="2420" w:type="dxa"/>
                  <w:vAlign w:val="center"/>
                </w:tcPr>
                <w:p>
                  <w:pPr>
                    <w:pStyle w:val="19"/>
                    <w:numPr>
                      <w:ilvl w:val="0"/>
                      <w:numId w:val="0"/>
                    </w:numPr>
                    <w:ind w:left="0" w:leftChars="0" w:firstLine="0" w:firstLineChars="0"/>
                    <w:jc w:val="both"/>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顾客满意度总分÷调查顾客数x100%</w:t>
                  </w:r>
                </w:p>
              </w:tc>
              <w:tc>
                <w:tcPr>
                  <w:tcW w:w="301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090" w:type="dxa"/>
                </w:tcPr>
                <w:p>
                  <w:pPr>
                    <w:pStyle w:val="19"/>
                    <w:numPr>
                      <w:ilvl w:val="0"/>
                      <w:numId w:val="0"/>
                    </w:numPr>
                    <w:spacing w:line="240" w:lineRule="auto"/>
                    <w:ind w:leftChars="0"/>
                    <w:jc w:val="both"/>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原辅材料采购安全指标验收合格率100%；</w:t>
                  </w:r>
                </w:p>
              </w:tc>
              <w:tc>
                <w:tcPr>
                  <w:tcW w:w="1216" w:type="dxa"/>
                  <w:vAlign w:val="center"/>
                </w:tcPr>
                <w:p>
                  <w:pPr>
                    <w:pStyle w:val="19"/>
                    <w:numPr>
                      <w:ilvl w:val="0"/>
                      <w:numId w:val="0"/>
                    </w:numPr>
                    <w:ind w:left="0" w:leftChars="0" w:firstLine="0" w:firstLineChars="0"/>
                    <w:jc w:val="center"/>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按订单交付</w:t>
                  </w:r>
                </w:p>
              </w:tc>
              <w:tc>
                <w:tcPr>
                  <w:tcW w:w="2420" w:type="dxa"/>
                  <w:vAlign w:val="center"/>
                </w:tcPr>
                <w:p>
                  <w:pPr>
                    <w:pStyle w:val="19"/>
                    <w:numPr>
                      <w:ilvl w:val="0"/>
                      <w:numId w:val="0"/>
                    </w:numPr>
                    <w:ind w:left="0" w:leftChars="0" w:firstLine="0" w:firstLineChars="0"/>
                    <w:jc w:val="both"/>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产品检查合格数÷产品总数x100%</w:t>
                  </w:r>
                </w:p>
              </w:tc>
              <w:tc>
                <w:tcPr>
                  <w:tcW w:w="301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2021.08-2022.01月目标未完成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0"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重大食品安全事故为0</w:t>
                  </w:r>
                </w:p>
              </w:tc>
              <w:tc>
                <w:tcPr>
                  <w:tcW w:w="1216"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每季度统计</w:t>
                  </w:r>
                </w:p>
              </w:tc>
              <w:tc>
                <w:tcPr>
                  <w:tcW w:w="2420" w:type="dxa"/>
                  <w:vAlign w:val="center"/>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按实际发生次数</w:t>
                  </w:r>
                </w:p>
              </w:tc>
              <w:tc>
                <w:tcPr>
                  <w:tcW w:w="3012"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0" w:type="dxa"/>
                </w:tcPr>
                <w:p>
                  <w:pPr>
                    <w:widowControl/>
                    <w:spacing w:before="40"/>
                    <w:jc w:val="left"/>
                    <w:rPr>
                      <w:color w:val="000000"/>
                      <w:szCs w:val="18"/>
                      <w:highlight w:val="none"/>
                    </w:rPr>
                  </w:pPr>
                </w:p>
              </w:tc>
              <w:tc>
                <w:tcPr>
                  <w:tcW w:w="1216" w:type="dxa"/>
                </w:tcPr>
                <w:p>
                  <w:pPr>
                    <w:widowControl/>
                    <w:spacing w:before="40"/>
                    <w:jc w:val="left"/>
                    <w:rPr>
                      <w:color w:val="000000"/>
                      <w:szCs w:val="18"/>
                      <w:highlight w:val="none"/>
                    </w:rPr>
                  </w:pPr>
                </w:p>
              </w:tc>
              <w:tc>
                <w:tcPr>
                  <w:tcW w:w="2420" w:type="dxa"/>
                </w:tcPr>
                <w:p>
                  <w:pPr>
                    <w:widowControl/>
                    <w:spacing w:before="40"/>
                    <w:jc w:val="left"/>
                    <w:rPr>
                      <w:color w:val="000000"/>
                      <w:szCs w:val="18"/>
                      <w:highlight w:val="none"/>
                    </w:rPr>
                  </w:pPr>
                </w:p>
              </w:tc>
              <w:tc>
                <w:tcPr>
                  <w:tcW w:w="3012" w:type="dxa"/>
                </w:tcPr>
                <w:p>
                  <w:pPr>
                    <w:widowControl/>
                    <w:spacing w:before="40"/>
                    <w:jc w:val="left"/>
                    <w:rPr>
                      <w:color w:val="00000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90" w:type="dxa"/>
                </w:tcPr>
                <w:p>
                  <w:pPr>
                    <w:widowControl/>
                    <w:spacing w:before="40"/>
                    <w:jc w:val="left"/>
                    <w:rPr>
                      <w:color w:val="000000"/>
                      <w:szCs w:val="18"/>
                      <w:highlight w:val="none"/>
                    </w:rPr>
                  </w:pPr>
                </w:p>
              </w:tc>
              <w:tc>
                <w:tcPr>
                  <w:tcW w:w="1216" w:type="dxa"/>
                </w:tcPr>
                <w:p>
                  <w:pPr>
                    <w:widowControl/>
                    <w:spacing w:before="40"/>
                    <w:jc w:val="left"/>
                    <w:rPr>
                      <w:color w:val="000000"/>
                      <w:szCs w:val="18"/>
                      <w:highlight w:val="none"/>
                    </w:rPr>
                  </w:pPr>
                </w:p>
              </w:tc>
              <w:tc>
                <w:tcPr>
                  <w:tcW w:w="2420" w:type="dxa"/>
                </w:tcPr>
                <w:p>
                  <w:pPr>
                    <w:widowControl/>
                    <w:spacing w:before="40"/>
                    <w:jc w:val="left"/>
                    <w:rPr>
                      <w:color w:val="000000"/>
                      <w:szCs w:val="18"/>
                      <w:highlight w:val="none"/>
                    </w:rPr>
                  </w:pPr>
                </w:p>
              </w:tc>
              <w:tc>
                <w:tcPr>
                  <w:tcW w:w="3012" w:type="dxa"/>
                </w:tcPr>
                <w:p>
                  <w:pPr>
                    <w:widowControl/>
                    <w:spacing w:before="40"/>
                    <w:jc w:val="left"/>
                    <w:rPr>
                      <w:color w:val="000000"/>
                      <w:szCs w:val="18"/>
                      <w:highlight w:val="none"/>
                    </w:rPr>
                  </w:pPr>
                </w:p>
              </w:tc>
            </w:tr>
          </w:tbl>
          <w:p>
            <w:pPr>
              <w:pStyle w:val="2"/>
              <w:rPr>
                <w:rFonts w:hint="eastAsia"/>
                <w:highlight w:val="none"/>
              </w:rPr>
            </w:pPr>
            <w:r>
              <w:rPr>
                <w:rFonts w:hint="eastAsia" w:ascii="Times New Roman" w:hAnsi="Times New Roman" w:eastAsia="宋体" w:cs="Times New Roman"/>
                <w:bCs w:val="0"/>
                <w:spacing w:val="0"/>
                <w:kern w:val="2"/>
                <w:sz w:val="21"/>
                <w:lang w:val="en-US" w:eastAsia="zh-CN" w:bidi="ar-SA"/>
              </w:rPr>
              <w:t>初审一阶段发现：</w:t>
            </w:r>
          </w:p>
          <w:p>
            <w:pPr>
              <w:pStyle w:val="2"/>
              <w:rPr>
                <w:rFonts w:hint="eastAsia"/>
                <w:highlight w:val="none"/>
                <w:u w:val="single"/>
              </w:rPr>
            </w:pPr>
            <w:r>
              <w:rPr>
                <w:rFonts w:hint="eastAsia"/>
                <w:color w:val="000000"/>
                <w:szCs w:val="18"/>
                <w:highlight w:val="none"/>
                <w:shd w:val="pct10" w:color="auto" w:fill="FFFFFF"/>
                <w:lang w:val="en-US" w:eastAsia="zh-CN"/>
              </w:rPr>
              <w:t>总目标</w:t>
            </w:r>
            <w:r>
              <w:rPr>
                <w:rFonts w:hint="eastAsia" w:ascii="Times New Roman" w:hAnsi="Times New Roman" w:eastAsia="宋体" w:cs="Times New Roman"/>
                <w:bCs w:val="0"/>
                <w:spacing w:val="0"/>
                <w:kern w:val="2"/>
                <w:sz w:val="21"/>
                <w:lang w:val="en-US" w:eastAsia="zh-CN" w:bidi="ar-SA"/>
              </w:rPr>
              <w:t>：成品合格率达100%、原辅材料采购安全指标验收合格率100%；2021.08-2021.12月未完成，在二阶段已提供整改分析的说明，基本有效。</w:t>
            </w:r>
          </w:p>
          <w:p>
            <w:pPr>
              <w:shd w:val="clear"/>
              <w:rPr>
                <w:rFonts w:hint="default" w:eastAsia="宋体"/>
                <w:highlight w:val="none"/>
                <w:lang w:val="en-US" w:eastAsia="zh-CN"/>
              </w:rPr>
            </w:pPr>
            <w:r>
              <w:rPr>
                <w:rFonts w:ascii="宋体" w:hAnsi="宋体"/>
                <w:highlight w:val="none"/>
                <w:u w:val="single"/>
              </w:rPr>
              <w:fldChar w:fldCharType="begin"/>
            </w:r>
            <w:r>
              <w:rPr>
                <w:rFonts w:ascii="宋体" w:hAnsi="宋体"/>
                <w:highlight w:val="none"/>
                <w:u w:val="single"/>
              </w:rPr>
              <w:instrText xml:space="preserve"> </w:instrText>
            </w:r>
            <w:r>
              <w:rPr>
                <w:rFonts w:hint="eastAsia" w:ascii="宋体" w:hAnsi="宋体"/>
                <w:highlight w:val="none"/>
                <w:u w:val="single"/>
              </w:rPr>
              <w:instrText xml:space="preserve">eq \o\ac(□,√)</w:instrText>
            </w:r>
            <w:r>
              <w:rPr>
                <w:rFonts w:ascii="宋体" w:hAnsi="宋体"/>
                <w:highlight w:val="none"/>
                <w:u w:val="single"/>
              </w:rPr>
              <w:fldChar w:fldCharType="end"/>
            </w:r>
            <w:r>
              <w:rPr>
                <w:rFonts w:hint="eastAsia"/>
                <w:highlight w:val="none"/>
                <w:u w:val="single"/>
              </w:rPr>
              <w:t>目标已实现</w:t>
            </w:r>
            <w:r>
              <w:rPr>
                <w:rFonts w:hint="eastAsia"/>
                <w:highlight w:val="none"/>
                <w:u w:val="single"/>
                <w:lang w:eastAsia="zh-CN"/>
              </w:rPr>
              <w:t>，</w:t>
            </w:r>
            <w:r>
              <w:rPr>
                <w:rFonts w:hint="eastAsia"/>
                <w:lang w:val="en-US" w:eastAsia="zh-CN"/>
              </w:rPr>
              <w:t>2022年2-3月份目标在实施中</w:t>
            </w:r>
          </w:p>
          <w:p>
            <w:pPr>
              <w:shd w:val="clea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rPr>
                <w:color w:val="000000"/>
                <w:szCs w:val="21"/>
              </w:rPr>
            </w:pPr>
            <w:r>
              <w:rPr>
                <w:rFonts w:hint="eastAsia"/>
                <w:color w:val="000000"/>
                <w:szCs w:val="21"/>
              </w:rPr>
              <w:t>变更的策划</w:t>
            </w:r>
          </w:p>
          <w:p>
            <w:pPr>
              <w:shd w:val="clear"/>
            </w:pPr>
          </w:p>
        </w:tc>
        <w:tc>
          <w:tcPr>
            <w:tcW w:w="1055" w:type="dxa"/>
            <w:vMerge w:val="restart"/>
            <w:shd w:val="clear" w:color="auto" w:fill="auto"/>
          </w:tcPr>
          <w:p>
            <w:pPr>
              <w:shd w:val="clear"/>
              <w:rPr>
                <w:color w:val="000000"/>
                <w:szCs w:val="21"/>
              </w:rPr>
            </w:pPr>
            <w:r>
              <w:rPr>
                <w:rFonts w:hint="eastAsia"/>
                <w:color w:val="000000"/>
                <w:szCs w:val="21"/>
              </w:rPr>
              <w:t>Q6.3</w:t>
            </w:r>
          </w:p>
          <w:p>
            <w:pPr>
              <w:shd w:val="clear"/>
            </w:pPr>
            <w:r>
              <w:rPr>
                <w:rFonts w:hint="eastAsia"/>
                <w:color w:val="000000"/>
                <w:szCs w:val="21"/>
              </w:rPr>
              <w:t>F6.3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5"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color w:val="000000"/>
                <w:szCs w:val="21"/>
              </w:rPr>
              <w:t xml:space="preserve"> </w:t>
            </w:r>
            <w:r>
              <w:rPr>
                <w:rFonts w:hint="eastAsia"/>
              </w:rPr>
              <w:t>组织对相关管理体系进行变更时，变更应按所策划的方式实施；审核周期内的重大变更有：</w:t>
            </w:r>
          </w:p>
          <w:p>
            <w:pPr>
              <w:shd w:val="clear"/>
              <w:spacing w:before="40" w:after="40"/>
            </w:pPr>
            <w:r>
              <w:rPr>
                <w:rFonts w:hint="eastAsia"/>
              </w:rPr>
              <w:t>□组织结构变更 □部门职责变更 □主要原材料 □关键人员</w:t>
            </w:r>
            <w:r>
              <w:rPr>
                <w:rFonts w:hint="eastAsia"/>
                <w:lang w:val="en-US" w:eastAsia="zh-CN"/>
              </w:rPr>
              <w:t xml:space="preserve"> </w:t>
            </w:r>
            <w:r>
              <w:rPr>
                <w:rFonts w:hint="eastAsia"/>
              </w:rPr>
              <w:t xml:space="preserve"> □生产工艺/服务流程 </w:t>
            </w:r>
          </w:p>
          <w:p>
            <w:pPr>
              <w:shd w:val="clear"/>
              <w:spacing w:before="40" w:after="40"/>
              <w:rPr>
                <w:rFonts w:hint="eastAsia"/>
              </w:rPr>
            </w:pPr>
            <w:r>
              <w:rPr>
                <w:rFonts w:hint="eastAsia"/>
              </w:rPr>
              <w:sym w:font="Wingdings 2" w:char="00A3"/>
            </w:r>
            <w:r>
              <w:rPr>
                <w:rFonts w:hint="eastAsia"/>
              </w:rPr>
              <w:t xml:space="preserve">主要设备设施 □主要检测设备 </w:t>
            </w:r>
            <w:r>
              <w:rPr/>
              <w:sym w:font="Wingdings" w:char="00FE"/>
            </w:r>
            <w:r>
              <w:rPr>
                <w:rFonts w:hint="eastAsia"/>
              </w:rPr>
              <w:t>其他——</w:t>
            </w:r>
            <w:r>
              <w:rPr>
                <w:rFonts w:hint="eastAsia"/>
                <w:lang w:val="en-US" w:eastAsia="zh-CN"/>
              </w:rPr>
              <w:t>审核周期内</w:t>
            </w:r>
            <w:r>
              <w:rPr>
                <w:rFonts w:hint="eastAsia"/>
              </w:rPr>
              <w:t>未发生</w:t>
            </w:r>
          </w:p>
          <w:p>
            <w:pPr>
              <w:pStyle w:val="6"/>
              <w:shd w:val="clea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pPr>
                    <w:shd w:val="clear"/>
                  </w:pPr>
                  <w:r>
                    <w:rPr>
                      <w:rFonts w:hint="eastAsia"/>
                    </w:rPr>
                    <w:t>体系变更的内容说明</w:t>
                  </w:r>
                </w:p>
              </w:tc>
              <w:tc>
                <w:tcPr>
                  <w:tcW w:w="3632" w:type="dxa"/>
                </w:tcPr>
                <w:p>
                  <w:pPr>
                    <w:shd w:val="clear"/>
                  </w:pPr>
                </w:p>
              </w:tc>
              <w:tc>
                <w:tcPr>
                  <w:tcW w:w="3015"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评价内容</w:t>
                  </w:r>
                </w:p>
              </w:tc>
              <w:tc>
                <w:tcPr>
                  <w:tcW w:w="3632" w:type="dxa"/>
                </w:tcPr>
                <w:p>
                  <w:pPr>
                    <w:shd w:val="clear"/>
                  </w:pPr>
                  <w:r>
                    <w:rPr>
                      <w:rFonts w:hint="eastAsia"/>
                    </w:rPr>
                    <w:t>评价具体描述</w:t>
                  </w:r>
                </w:p>
              </w:tc>
              <w:tc>
                <w:tcPr>
                  <w:tcW w:w="3015" w:type="dxa"/>
                </w:tcPr>
                <w:p>
                  <w:pPr>
                    <w:shd w:val="clear"/>
                  </w:pPr>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变更目的</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其潜在后果</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6" w:type="dxa"/>
                </w:tcPr>
                <w:p>
                  <w:pPr>
                    <w:shd w:val="clear"/>
                  </w:pPr>
                  <w:r>
                    <w:rPr>
                      <w:rFonts w:hint="eastAsia"/>
                    </w:rPr>
                    <w:t>质量管理体系的完整性</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资源的可获得性</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职责和权限的分配或再分配</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shd w:val="clear"/>
              <w:rPr>
                <w:rFonts w:hint="default" w:eastAsia="宋体"/>
                <w:lang w:val="en-US" w:eastAsia="zh-CN"/>
              </w:rPr>
            </w:pPr>
            <w:r>
              <w:rPr>
                <w:rFonts w:hint="eastAsia"/>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资源（总则）</w:t>
            </w:r>
          </w:p>
        </w:tc>
        <w:tc>
          <w:tcPr>
            <w:tcW w:w="1055" w:type="dxa"/>
            <w:vMerge w:val="restart"/>
            <w:shd w:val="clear" w:color="auto" w:fill="auto"/>
          </w:tcPr>
          <w:p>
            <w:pPr>
              <w:shd w:val="clear"/>
            </w:pPr>
            <w:r>
              <w:rPr>
                <w:rFonts w:hint="eastAsia"/>
              </w:rPr>
              <w:t>Q7.1</w:t>
            </w:r>
            <w:r>
              <w:rPr>
                <w:rFonts w:hint="eastAsia"/>
                <w:lang w:val="en-US" w:eastAsia="zh-CN"/>
              </w:rPr>
              <w:t>.1</w:t>
            </w:r>
          </w:p>
          <w:p>
            <w:pPr>
              <w:shd w:val="clear"/>
              <w:rPr>
                <w:rFonts w:hint="eastAsia"/>
                <w:lang w:val="en-US" w:eastAsia="zh-CN"/>
              </w:rPr>
            </w:pPr>
            <w:r>
              <w:rPr>
                <w:rFonts w:hint="eastAsia"/>
              </w:rPr>
              <w:t>F7.1</w:t>
            </w:r>
            <w:r>
              <w:rPr>
                <w:rFonts w:hint="eastAsia"/>
                <w:lang w:val="en-US" w:eastAsia="zh-CN"/>
              </w:rPr>
              <w:t>.1</w:t>
            </w:r>
          </w:p>
          <w:p>
            <w:pPr>
              <w:pStyle w:val="6"/>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rPr>
              <w:t>管理手册第7.1章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p>
            <w:pPr>
              <w:shd w:val="clear"/>
            </w:pPr>
          </w:p>
          <w:p>
            <w:pPr>
              <w:shd w:val="clear"/>
            </w:pPr>
          </w:p>
          <w:p>
            <w:pPr>
              <w:shd w:val="clear"/>
            </w:pPr>
          </w:p>
          <w:p>
            <w:pPr>
              <w:shd w:val="clear"/>
            </w:pPr>
          </w:p>
          <w:p>
            <w:pPr>
              <w:shd w:val="clear"/>
            </w:pPr>
          </w:p>
          <w:p>
            <w:pPr>
              <w:shd w:val="clear"/>
            </w:pP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color w:val="000000"/>
                <w:szCs w:val="21"/>
                <w:highlight w:val="none"/>
              </w:rPr>
            </w:pPr>
            <w:r>
              <w:rPr>
                <w:rFonts w:hint="eastAsia"/>
                <w:color w:val="000000"/>
                <w:szCs w:val="21"/>
                <w:highlight w:val="none"/>
              </w:rPr>
              <w:t xml:space="preserve">和最高管理层确定并提供所需的资源，以建立、实施、保持和持续改进质量管理体系。 </w:t>
            </w:r>
          </w:p>
          <w:p>
            <w:pPr>
              <w:numPr>
                <w:ilvl w:val="0"/>
                <w:numId w:val="3"/>
              </w:numPr>
              <w:shd w:val="clear"/>
              <w:rPr>
                <w:color w:val="000000"/>
                <w:szCs w:val="21"/>
                <w:highlight w:val="none"/>
              </w:rPr>
            </w:pPr>
            <w:r>
              <w:rPr>
                <w:rFonts w:hint="eastAsia"/>
                <w:color w:val="000000"/>
                <w:szCs w:val="21"/>
                <w:highlight w:val="none"/>
              </w:rPr>
              <w:t>现有内部资源的能力；</w:t>
            </w:r>
          </w:p>
          <w:p>
            <w:pPr>
              <w:shd w:val="clear"/>
              <w:rPr>
                <w:rFonts w:hint="eastAsia"/>
                <w:highlight w:val="none"/>
                <w:u w:val="single"/>
                <w:lang w:val="en-US" w:eastAsia="zh-CN"/>
              </w:rPr>
            </w:pPr>
            <w:r>
              <w:rPr>
                <w:rFonts w:hint="eastAsia"/>
                <w:highlight w:val="none"/>
              </w:rPr>
              <w:t>建筑面积</w:t>
            </w:r>
            <w:r>
              <w:rPr>
                <w:rFonts w:hint="eastAsia"/>
                <w:highlight w:val="none"/>
                <w:u w:val="single"/>
              </w:rPr>
              <w:t xml:space="preserve"> 10826</w:t>
            </w:r>
            <w:r>
              <w:rPr>
                <w:rFonts w:hint="eastAsia"/>
                <w:highlight w:val="none"/>
                <w:u w:val="single"/>
                <w:lang w:val="en-US" w:eastAsia="zh-CN"/>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u w:val="single"/>
                <w:lang w:val="en-US" w:eastAsia="zh-CN"/>
              </w:rPr>
              <w:t>检验室1个；冷冻库原料库在用1个；冷冻库成品库在用2个；速冻库1个；冷藏车1辆；</w:t>
            </w:r>
          </w:p>
          <w:p>
            <w:pPr>
              <w:shd w:val="clear"/>
              <w:rPr>
                <w:rFonts w:hint="eastAsia"/>
                <w:highlight w:val="none"/>
                <w:u w:val="single"/>
                <w:lang w:val="en-US" w:eastAsia="zh-CN"/>
              </w:rPr>
            </w:pPr>
          </w:p>
          <w:p>
            <w:pPr>
              <w:shd w:val="clear"/>
              <w:rPr>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冷冻库、冷藏库、车辆</w:t>
            </w:r>
            <w:r>
              <w:rPr>
                <w:rFonts w:hint="eastAsia"/>
                <w:highlight w:val="none"/>
                <w:u w:val="single"/>
                <w:lang w:eastAsia="zh-CN"/>
              </w:rPr>
              <w:t>、</w:t>
            </w:r>
            <w:r>
              <w:rPr>
                <w:rFonts w:hint="eastAsia"/>
                <w:highlight w:val="none"/>
                <w:u w:val="single"/>
              </w:rPr>
              <w:t xml:space="preserve"> （列举2~4种）</w:t>
            </w:r>
          </w:p>
          <w:p>
            <w:pPr>
              <w:widowControl/>
              <w:shd w:val="clear"/>
              <w:spacing w:before="40"/>
              <w:jc w:val="left"/>
              <w:rPr>
                <w:color w:val="000000"/>
                <w:highlight w:val="none"/>
              </w:rPr>
            </w:pPr>
            <w:r>
              <w:rPr>
                <w:rFonts w:hint="eastAsia"/>
                <w:color w:val="000000"/>
                <w:highlight w:val="none"/>
              </w:rPr>
              <w:t>动力设施和辅助设施的状况，存在下列的场所：</w:t>
            </w:r>
          </w:p>
          <w:p>
            <w:pPr>
              <w:widowControl/>
              <w:shd w:val="clear"/>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t>□</w:t>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color w:val="000000"/>
                <w:highlight w:val="none"/>
              </w:rPr>
              <w:sym w:font="Wingdings" w:char="00A8"/>
            </w:r>
            <w:r>
              <w:rPr>
                <w:rFonts w:hint="eastAsia"/>
                <w:color w:val="000000"/>
                <w:highlight w:val="none"/>
              </w:rPr>
              <w:t>消防中控室</w:t>
            </w:r>
          </w:p>
          <w:p>
            <w:pPr>
              <w:widowControl/>
              <w:shd w:val="clear"/>
              <w:spacing w:before="40"/>
              <w:ind w:left="210" w:leftChars="100"/>
              <w:jc w:val="left"/>
              <w:rPr>
                <w:color w:val="000000"/>
                <w:highlight w:val="none"/>
              </w:rPr>
            </w:pPr>
            <w:r>
              <w:rPr>
                <w:color w:val="000000"/>
                <w:highlight w:val="none"/>
              </w:rPr>
              <w:sym w:font="Wingdings" w:char="00A8"/>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FE"/>
            </w:r>
            <w:r>
              <w:rPr>
                <w:rFonts w:hint="eastAsia"/>
                <w:color w:val="000000"/>
                <w:highlight w:val="none"/>
              </w:rPr>
              <w:t xml:space="preserve">其他——不涉及 </w:t>
            </w:r>
          </w:p>
          <w:p>
            <w:pPr>
              <w:shd w:val="clear"/>
              <w:rPr>
                <w:highlight w:val="none"/>
              </w:rPr>
            </w:pPr>
          </w:p>
          <w:p>
            <w:pPr>
              <w:shd w:val="clear"/>
              <w:rPr>
                <w:rFonts w:hint="eastAsia"/>
                <w:highlight w:val="none"/>
              </w:rPr>
            </w:pPr>
            <w:r>
              <w:rPr>
                <w:rFonts w:hint="eastAsia"/>
                <w:highlight w:val="none"/>
              </w:rPr>
              <w:t>特种设备：</w:t>
            </w:r>
          </w:p>
          <w:p>
            <w:pPr>
              <w:shd w:val="clear"/>
              <w:ind w:firstLine="210" w:firstLineChars="100"/>
              <w:rPr>
                <w:rFonts w:hint="eastAsia"/>
                <w:highlight w:val="none"/>
              </w:rPr>
            </w:pPr>
            <w:r>
              <w:rPr>
                <w:rFonts w:hint="eastAsia"/>
                <w:highlight w:val="none"/>
              </w:rPr>
              <w:sym w:font="Wingdings" w:char="00FE"/>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A8"/>
            </w:r>
            <w:r>
              <w:rPr>
                <w:rFonts w:hint="eastAsia"/>
                <w:highlight w:val="none"/>
              </w:rPr>
              <w:t>电梯</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不适用</w:t>
            </w:r>
          </w:p>
          <w:p>
            <w:pPr>
              <w:shd w:val="clear"/>
              <w:ind w:firstLine="210" w:firstLineChars="100"/>
              <w:rPr>
                <w:highlight w:val="none"/>
              </w:rPr>
            </w:pPr>
          </w:p>
          <w:p>
            <w:pPr>
              <w:shd w:val="clear"/>
              <w:rPr>
                <w:color w:val="000000"/>
                <w:szCs w:val="21"/>
                <w:highlight w:val="none"/>
              </w:rPr>
            </w:pPr>
            <w:r>
              <w:rPr>
                <w:rFonts w:hint="eastAsia"/>
                <w:highlight w:val="none"/>
              </w:rPr>
              <w:t>特种设备管理：</w:t>
            </w:r>
            <w:r>
              <w:rPr>
                <w:rFonts w:hint="eastAsia"/>
                <w:highlight w:val="none"/>
              </w:rPr>
              <w:sym w:font="Wingdings" w:char="00A8"/>
            </w:r>
            <w:r>
              <w:rPr>
                <w:rFonts w:hint="eastAsia"/>
                <w:highlight w:val="none"/>
              </w:rPr>
              <w:t xml:space="preserve">进行了定期检验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pStyle w:val="6"/>
              <w:shd w:val="clear"/>
              <w:rPr>
                <w:rFonts w:hint="default"/>
                <w:color w:val="000000"/>
                <w:szCs w:val="21"/>
                <w:highlight w:val="none"/>
                <w:lang w:val="en-US" w:eastAsia="zh-CN"/>
              </w:rPr>
            </w:pPr>
          </w:p>
          <w:p>
            <w:pPr>
              <w:numPr>
                <w:ilvl w:val="0"/>
                <w:numId w:val="4"/>
              </w:numPr>
              <w:shd w:val="clea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p>
          <w:p>
            <w:pPr>
              <w:numPr>
                <w:ilvl w:val="0"/>
                <w:numId w:val="3"/>
              </w:numPr>
              <w:shd w:val="clear"/>
              <w:rPr>
                <w:highlight w:val="none"/>
              </w:rPr>
            </w:pPr>
            <w:r>
              <w:rPr>
                <w:rFonts w:hint="eastAsia"/>
                <w:color w:val="000000"/>
                <w:szCs w:val="21"/>
                <w:highlight w:val="none"/>
              </w:rPr>
              <w:t>需要从外部供方获得的资源：</w:t>
            </w: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18" w:type="dxa"/>
            <w:vMerge w:val="restart"/>
            <w:shd w:val="clear" w:color="auto" w:fill="auto"/>
          </w:tcPr>
          <w:p>
            <w:pPr>
              <w:shd w:val="clear"/>
            </w:pPr>
            <w:r>
              <w:rPr>
                <w:rFonts w:hint="eastAsia"/>
              </w:rPr>
              <w:t xml:space="preserve">沟通  </w:t>
            </w:r>
          </w:p>
        </w:tc>
        <w:tc>
          <w:tcPr>
            <w:tcW w:w="1055" w:type="dxa"/>
            <w:vMerge w:val="restart"/>
            <w:shd w:val="clear" w:color="auto" w:fill="auto"/>
          </w:tcPr>
          <w:p>
            <w:pPr>
              <w:shd w:val="clear"/>
            </w:pPr>
            <w:r>
              <w:rPr>
                <w:rFonts w:hint="eastAsia"/>
              </w:rPr>
              <w:t>Q7.4</w:t>
            </w:r>
          </w:p>
          <w:p>
            <w:pPr>
              <w:shd w:val="clear"/>
              <w:rPr>
                <w:rFonts w:hint="eastAsia"/>
              </w:rPr>
            </w:pPr>
            <w:r>
              <w:rPr>
                <w:rFonts w:hint="eastAsia"/>
              </w:rPr>
              <w:t>F7.4</w:t>
            </w:r>
          </w:p>
          <w:p>
            <w:pPr>
              <w:shd w:val="clear"/>
              <w:rPr>
                <w:rFonts w:hint="eastAsia"/>
                <w:lang w:val="en-US" w:eastAsia="zh-CN"/>
              </w:rPr>
            </w:pPr>
            <w:r>
              <w:rPr>
                <w:rFonts w:hint="eastAsia"/>
                <w:lang w:val="en-US" w:eastAsia="zh-CN"/>
              </w:rPr>
              <w:t>H(V1.0)</w:t>
            </w:r>
          </w:p>
          <w:p>
            <w:pPr>
              <w:pStyle w:val="6"/>
              <w:shd w:val="clear"/>
            </w:pPr>
            <w:r>
              <w:rPr>
                <w:rFonts w:hint="eastAsia"/>
                <w:lang w:val="en-US" w:eastAsia="zh-CN"/>
              </w:rPr>
              <w:t>2.5.2</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hint="eastAsia"/>
                <w:color w:val="000000"/>
                <w:szCs w:val="21"/>
              </w:rPr>
              <w:t>☑</w:t>
            </w:r>
            <w:r>
              <w:rPr>
                <w:rFonts w:hint="eastAsia"/>
              </w:rPr>
              <w:t>管理手册第7.4章、</w:t>
            </w:r>
            <w:r>
              <w:rPr>
                <w:rFonts w:hint="eastAsia"/>
                <w:color w:val="000000"/>
                <w:szCs w:val="21"/>
              </w:rPr>
              <w:t>☑</w:t>
            </w:r>
            <w:r>
              <w:rPr>
                <w:rFonts w:hint="eastAsia"/>
              </w:rPr>
              <w:t>《</w:t>
            </w:r>
            <w:r>
              <w:rPr>
                <w:rFonts w:hint="eastAsia"/>
                <w:lang w:val="en-US" w:eastAsia="zh-CN"/>
              </w:rPr>
              <w:t>信息</w:t>
            </w:r>
            <w:r>
              <w:rPr>
                <w:rFonts w:hint="eastAsia"/>
              </w:rPr>
              <w:t>沟通控制程序》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组织考虑了合规义务，确保质量/食品安全信息与质量/食品安全管理体系形成的信息一致且真实可信。一般由</w:t>
            </w:r>
            <w:r>
              <w:rPr>
                <w:rFonts w:hint="eastAsia"/>
                <w:lang w:eastAsia="zh-CN"/>
              </w:rPr>
              <w:t>综合办</w:t>
            </w:r>
            <w:r>
              <w:rPr>
                <w:rFonts w:hint="eastAsia"/>
              </w:rPr>
              <w:t>负责。</w:t>
            </w:r>
          </w:p>
          <w:p>
            <w:pPr>
              <w:shd w:val="clear"/>
            </w:pPr>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pPr>
              <w:shd w:val="clear"/>
            </w:pPr>
          </w:p>
          <w:p>
            <w:pPr>
              <w:shd w:val="clear"/>
            </w:pPr>
            <w:r>
              <w:rPr>
                <w:rFonts w:hint="eastAsia"/>
              </w:rPr>
              <w:t>内部沟通的控制方式：</w:t>
            </w:r>
            <w:r>
              <w:rPr>
                <w:rFonts w:hint="eastAsia"/>
                <w:color w:val="000000"/>
                <w:szCs w:val="21"/>
              </w:rPr>
              <w:t xml:space="preserve">☑会议 </w:t>
            </w:r>
            <w:r>
              <w:rPr>
                <w:rFonts w:hint="eastAsia"/>
                <w:color w:val="000000"/>
                <w:szCs w:val="21"/>
                <w:lang w:eastAsia="zh-CN"/>
              </w:rPr>
              <w:t>□</w:t>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518" w:type="dxa"/>
            <w:vMerge w:val="restart"/>
            <w:shd w:val="clear" w:color="auto" w:fill="auto"/>
          </w:tcPr>
          <w:p>
            <w:pPr>
              <w:shd w:val="clear"/>
            </w:pPr>
            <w:r>
              <w:rPr>
                <w:rFonts w:hint="eastAsia"/>
              </w:rPr>
              <w:t>文件要求</w:t>
            </w:r>
          </w:p>
        </w:tc>
        <w:tc>
          <w:tcPr>
            <w:tcW w:w="1055"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w:t>
            </w:r>
          </w:p>
          <w:p>
            <w:pPr>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食品安全管理</w:t>
            </w:r>
            <w:r>
              <w:rPr>
                <w:rFonts w:hint="eastAsia"/>
              </w:rPr>
              <w:t>手册》、</w:t>
            </w:r>
            <w:r>
              <w:rPr>
                <w:rFonts w:hint="eastAsia"/>
              </w:rPr>
              <w:sym w:font="Wingdings 2" w:char="0052"/>
            </w:r>
            <w:r>
              <w:rPr>
                <w:rFonts w:hint="eastAsia"/>
              </w:rPr>
              <w:t>《程序文件》</w:t>
            </w:r>
            <w:r>
              <w:rPr>
                <w:rFonts w:hint="eastAsia"/>
                <w:lang w:eastAsia="zh-CN"/>
              </w:rPr>
              <w:t>、</w:t>
            </w:r>
            <w:r>
              <w:rPr>
                <w:rFonts w:hint="eastAsia"/>
              </w:rPr>
              <w:sym w:font="Wingdings 2" w:char="0052"/>
            </w:r>
            <w:r>
              <w:rPr>
                <w:rFonts w:hint="eastAsia"/>
              </w:rPr>
              <w:t>《</w:t>
            </w:r>
            <w:r>
              <w:rPr>
                <w:rFonts w:hint="eastAsia"/>
                <w:lang w:val="en-US" w:eastAsia="zh-CN"/>
              </w:rPr>
              <w:t>质量管理</w:t>
            </w:r>
            <w:r>
              <w:rPr>
                <w:rFonts w:hint="eastAsia"/>
              </w:rPr>
              <w:t>手册》</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pStyle w:val="2"/>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组织的</w:t>
            </w:r>
            <w:r>
              <w:rPr>
                <w:rFonts w:hint="eastAsia"/>
                <w:lang w:val="en-US" w:eastAsia="zh-CN"/>
              </w:rPr>
              <w:t>QMS/FSMS</w:t>
            </w:r>
            <w:r>
              <w:rPr>
                <w:rFonts w:hint="eastAsia"/>
              </w:rPr>
              <w:t>体系文件包括：</w:t>
            </w:r>
          </w:p>
          <w:p>
            <w:pPr>
              <w:shd w:val="clear"/>
            </w:pPr>
            <w:r>
              <w:rPr>
                <w:rFonts w:hint="eastAsia" w:ascii="宋体" w:hAnsi="宋体"/>
              </w:rPr>
              <w:sym w:font="Wingdings 2" w:char="0052"/>
            </w:r>
            <w:r>
              <w:rPr>
                <w:rFonts w:hint="eastAsia" w:ascii="宋体" w:hAnsi="宋体"/>
              </w:rPr>
              <w:t xml:space="preserve"> </w:t>
            </w:r>
            <w:r>
              <w:rPr>
                <w:rFonts w:hint="eastAsia"/>
              </w:rPr>
              <w:t>形成文件的</w:t>
            </w:r>
            <w:r>
              <w:rPr>
                <w:rFonts w:hint="eastAsia"/>
                <w:lang w:val="en-US" w:eastAsia="zh-CN"/>
              </w:rPr>
              <w:t>质量和</w:t>
            </w:r>
            <w:r>
              <w:rPr>
                <w:rFonts w:hint="eastAsia"/>
              </w:rPr>
              <w:t>食品安全方针；</w:t>
            </w:r>
          </w:p>
          <w:p>
            <w:pPr>
              <w:shd w:val="clea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lang w:val="en-US" w:eastAsia="zh-CN"/>
              </w:rPr>
              <w:t>管理</w:t>
            </w:r>
            <w:r>
              <w:rPr>
                <w:rFonts w:hint="eastAsia"/>
              </w:rPr>
              <w:t>手册；</w:t>
            </w:r>
            <w:r>
              <w:rPr>
                <w:rFonts w:hint="eastAsia"/>
                <w:u w:val="single"/>
              </w:rPr>
              <w:sym w:font="Wingdings 2" w:char="0052"/>
            </w:r>
            <w:r>
              <w:rPr>
                <w:rFonts w:hint="eastAsia"/>
                <w:u w:val="single"/>
              </w:rPr>
              <w:t>《</w:t>
            </w:r>
            <w:r>
              <w:rPr>
                <w:rFonts w:hint="eastAsia"/>
                <w:u w:val="single"/>
                <w:lang w:val="en-US" w:eastAsia="zh-CN"/>
              </w:rPr>
              <w:t>食品安全管理</w:t>
            </w:r>
            <w:r>
              <w:rPr>
                <w:rFonts w:hint="eastAsia"/>
                <w:u w:val="single"/>
              </w:rPr>
              <w:t>手册》</w:t>
            </w:r>
            <w:r>
              <w:rPr>
                <w:rFonts w:hint="eastAsia"/>
                <w:u w:val="single"/>
                <w:lang w:eastAsia="zh-CN"/>
              </w:rPr>
              <w:t>、</w:t>
            </w:r>
            <w:r>
              <w:rPr>
                <w:rFonts w:hint="eastAsia"/>
                <w:u w:val="single"/>
              </w:rPr>
              <w:sym w:font="Wingdings 2" w:char="0052"/>
            </w:r>
            <w:r>
              <w:rPr>
                <w:rFonts w:hint="eastAsia"/>
                <w:u w:val="single"/>
              </w:rPr>
              <w:t>《</w:t>
            </w:r>
            <w:r>
              <w:rPr>
                <w:rFonts w:hint="eastAsia"/>
                <w:u w:val="single"/>
                <w:lang w:val="en-US" w:eastAsia="zh-CN"/>
              </w:rPr>
              <w:t>质量管理</w:t>
            </w:r>
            <w:r>
              <w:rPr>
                <w:rFonts w:hint="eastAsia"/>
                <w:u w:val="single"/>
              </w:rPr>
              <w:t>手册》</w:t>
            </w:r>
          </w:p>
          <w:p>
            <w:pPr>
              <w:shd w:val="clear"/>
            </w:pPr>
            <w:r>
              <w:rPr>
                <w:rFonts w:hint="eastAsia" w:ascii="宋体" w:hAnsi="宋体"/>
              </w:rPr>
              <w:sym w:font="Wingdings 2" w:char="0052"/>
            </w:r>
            <w:r>
              <w:rPr>
                <w:rFonts w:hint="eastAsia" w:ascii="宋体" w:hAnsi="宋体"/>
              </w:rPr>
              <w:t xml:space="preserve"> </w:t>
            </w:r>
            <w:r>
              <w:rPr>
                <w:rFonts w:hint="eastAsia"/>
              </w:rPr>
              <w:t>本文件所要求的形成文件的程序；</w:t>
            </w:r>
          </w:p>
          <w:p>
            <w:pPr>
              <w:shd w:val="clear"/>
            </w:pPr>
            <w:r>
              <w:rPr>
                <w:rFonts w:hint="eastAsia" w:ascii="宋体" w:hAnsi="宋体"/>
              </w:rPr>
              <w:sym w:font="Wingdings 2" w:char="0052"/>
            </w:r>
            <w:r>
              <w:rPr>
                <w:rFonts w:hint="eastAsia" w:ascii="宋体" w:hAnsi="宋体"/>
              </w:rPr>
              <w:t xml:space="preserve"> </w:t>
            </w:r>
            <w:r>
              <w:rPr>
                <w:rFonts w:hint="eastAsia"/>
              </w:rPr>
              <w:t>企业为确保</w:t>
            </w:r>
            <w:r>
              <w:rPr>
                <w:rFonts w:hint="eastAsia"/>
                <w:lang w:val="en-US" w:eastAsia="zh-CN"/>
              </w:rPr>
              <w:t>QMS/FSMS</w:t>
            </w:r>
            <w:r>
              <w:rPr>
                <w:rFonts w:hint="eastAsia"/>
              </w:rPr>
              <w:t>体系过程的有效策划、运行和控制所需的文件；（</w:t>
            </w:r>
            <w:r>
              <w:rPr>
                <w:rFonts w:hint="eastAsia"/>
                <w:lang w:val="en-US" w:eastAsia="zh-CN"/>
              </w:rPr>
              <w:t>作业指导书</w:t>
            </w:r>
            <w:r>
              <w:rPr>
                <w:rFonts w:hint="eastAsia"/>
              </w:rPr>
              <w:t>件）</w:t>
            </w:r>
          </w:p>
          <w:p>
            <w:pPr>
              <w:shd w:val="clear"/>
            </w:pPr>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pPr>
          </w:p>
        </w:tc>
        <w:tc>
          <w:tcPr>
            <w:tcW w:w="1055" w:type="dxa"/>
            <w:vMerge w:val="restart"/>
            <w:shd w:val="clear" w:color="auto" w:fill="auto"/>
          </w:tcPr>
          <w:p>
            <w:pPr>
              <w:shd w:val="clear"/>
              <w:rPr>
                <w:rFonts w:hint="eastAsia"/>
                <w:lang w:val="en-US" w:eastAsia="zh-CN"/>
              </w:rPr>
            </w:pPr>
            <w:r>
              <w:rPr>
                <w:rFonts w:hint="eastAsia"/>
                <w:lang w:val="en-US" w:eastAsia="zh-CN"/>
              </w:rPr>
              <w:t>Q7.5.1</w:t>
            </w:r>
          </w:p>
          <w:p>
            <w:pPr>
              <w:shd w:val="clear"/>
            </w:pPr>
            <w:r>
              <w:rPr>
                <w:rFonts w:hint="eastAsia"/>
                <w:lang w:val="en-US" w:eastAsia="zh-CN"/>
              </w:rPr>
              <w:t>F7.5.1</w:t>
            </w:r>
          </w:p>
          <w:p>
            <w:pPr>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食品安全管理</w:t>
            </w:r>
            <w:r>
              <w:rPr>
                <w:rFonts w:hint="eastAsia"/>
              </w:rPr>
              <w:t>手册》、</w:t>
            </w:r>
            <w:r>
              <w:rPr>
                <w:rFonts w:hint="eastAsia"/>
              </w:rPr>
              <w:sym w:font="Wingdings 2" w:char="0052"/>
            </w:r>
            <w:r>
              <w:rPr>
                <w:rFonts w:hint="eastAsia"/>
              </w:rPr>
              <w:t>《程序文件》</w:t>
            </w:r>
            <w:r>
              <w:rPr>
                <w:rFonts w:hint="eastAsia"/>
                <w:lang w:eastAsia="zh-CN"/>
              </w:rPr>
              <w:t>、</w:t>
            </w:r>
            <w:r>
              <w:rPr>
                <w:rFonts w:hint="eastAsia"/>
              </w:rPr>
              <w:sym w:font="Wingdings 2" w:char="0052"/>
            </w:r>
            <w:r>
              <w:rPr>
                <w:rFonts w:hint="eastAsia"/>
              </w:rPr>
              <w:t>《</w:t>
            </w:r>
            <w:r>
              <w:rPr>
                <w:rFonts w:hint="eastAsia"/>
                <w:lang w:val="en-US" w:eastAsia="zh-CN"/>
              </w:rPr>
              <w:t>质量管理</w:t>
            </w:r>
            <w:r>
              <w:rPr>
                <w:rFonts w:hint="eastAsia"/>
              </w:rPr>
              <w:t>手册》</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企业应编制和保持</w:t>
            </w:r>
            <w:r>
              <w:rPr>
                <w:rFonts w:hint="eastAsia"/>
                <w:lang w:eastAsia="zh-CN"/>
              </w:rPr>
              <w:t>《</w:t>
            </w:r>
            <w:r>
              <w:rPr>
                <w:rFonts w:hint="eastAsia"/>
                <w:u w:val="none"/>
              </w:rPr>
              <w:t>管理手册</w:t>
            </w:r>
            <w:r>
              <w:rPr>
                <w:rFonts w:hint="eastAsia"/>
                <w:lang w:eastAsia="zh-CN"/>
              </w:rPr>
              <w:t>》</w:t>
            </w:r>
            <w:r>
              <w:rPr>
                <w:rFonts w:hint="eastAsia"/>
              </w:rPr>
              <w:t>，内容包括：</w:t>
            </w:r>
          </w:p>
          <w:p>
            <w:pPr>
              <w:shd w:val="clear"/>
            </w:pPr>
            <w:r>
              <w:rPr>
                <w:rFonts w:hint="eastAsia"/>
              </w:rPr>
              <w:sym w:font="Wingdings 2" w:char="0052"/>
            </w:r>
            <w:r>
              <w:rPr>
                <w:rFonts w:hint="eastAsia"/>
                <w:lang w:val="en-US" w:eastAsia="zh-CN"/>
              </w:rPr>
              <w:t>管理</w:t>
            </w:r>
            <w:r>
              <w:rPr>
                <w:rFonts w:hint="eastAsia"/>
              </w:rPr>
              <w:t>体系的范围，包括所覆盖产品或产品类别、操作步骤和场所；</w:t>
            </w:r>
          </w:p>
          <w:p>
            <w:pPr>
              <w:shd w:val="clear"/>
            </w:pPr>
            <w:r>
              <w:rPr>
                <w:rFonts w:hint="eastAsia"/>
              </w:rPr>
              <w:sym w:font="Wingdings 2" w:char="0052"/>
            </w:r>
            <w:r>
              <w:rPr>
                <w:rFonts w:hint="eastAsia"/>
                <w:lang w:val="en-US" w:eastAsia="zh-CN"/>
              </w:rPr>
              <w:t>管理</w:t>
            </w:r>
            <w:r>
              <w:rPr>
                <w:rFonts w:hint="eastAsia"/>
              </w:rPr>
              <w:t>体系程序文件或对其的引用；</w:t>
            </w:r>
          </w:p>
          <w:p>
            <w:pPr>
              <w:shd w:val="clear"/>
            </w:pPr>
            <w:r>
              <w:rPr>
                <w:rFonts w:hint="eastAsia"/>
              </w:rPr>
              <w:sym w:font="Wingdings 2" w:char="0052"/>
            </w:r>
            <w:r>
              <w:rPr>
                <w:rFonts w:hint="eastAsia"/>
                <w:lang w:val="en-US" w:eastAsia="zh-CN"/>
              </w:rPr>
              <w:t>管理</w:t>
            </w:r>
            <w:r>
              <w:rPr>
                <w:rFonts w:hint="eastAsia"/>
              </w:rPr>
              <w:t>体系过程及其相互作用的表述。</w:t>
            </w:r>
          </w:p>
          <w:p>
            <w:pPr>
              <w:shd w:val="clear"/>
              <w:rPr>
                <w:rFonts w:hint="eastAsia"/>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外包的识别——无外包</w:t>
            </w:r>
          </w:p>
          <w:p>
            <w:pPr>
              <w:pStyle w:val="2"/>
              <w:shd w:val="clear"/>
              <w:rPr>
                <w:rFonts w:hint="default" w:eastAsia="宋体"/>
                <w:lang w:val="en-US" w:eastAsia="zh-CN"/>
              </w:rPr>
            </w:pPr>
            <w:r>
              <w:rPr>
                <w:rFonts w:hint="eastAsia" w:ascii="宋体" w:hAnsi="宋体"/>
                <w:lang w:val="en-US" w:eastAsia="zh-CN"/>
              </w:rPr>
              <w:t>详见</w:t>
            </w:r>
            <w:r>
              <w:rPr>
                <w:rFonts w:hint="eastAsia"/>
              </w:rPr>
              <w:sym w:font="Wingdings 2" w:char="0052"/>
            </w:r>
            <w:r>
              <w:rPr>
                <w:rFonts w:hint="eastAsia"/>
              </w:rPr>
              <w:t>《</w:t>
            </w:r>
            <w:r>
              <w:rPr>
                <w:rFonts w:hint="eastAsia"/>
                <w:lang w:val="en-US" w:eastAsia="zh-CN"/>
              </w:rPr>
              <w:t>食品安全管理</w:t>
            </w:r>
            <w:r>
              <w:rPr>
                <w:rFonts w:hint="eastAsia"/>
              </w:rPr>
              <w:t>手册》</w:t>
            </w:r>
            <w:r>
              <w:rPr>
                <w:rFonts w:hint="eastAsia"/>
                <w:lang w:eastAsia="zh-CN"/>
              </w:rPr>
              <w:t>、</w:t>
            </w:r>
            <w:r>
              <w:rPr>
                <w:rFonts w:hint="eastAsia"/>
              </w:rPr>
              <w:sym w:font="Wingdings 2" w:char="0052"/>
            </w:r>
            <w:r>
              <w:rPr>
                <w:rFonts w:hint="eastAsia"/>
              </w:rPr>
              <w:t>《</w:t>
            </w:r>
            <w:r>
              <w:rPr>
                <w:rFonts w:hint="eastAsia"/>
                <w:lang w:val="en-US" w:eastAsia="zh-CN"/>
              </w:rPr>
              <w:t>质量管理</w:t>
            </w:r>
            <w:r>
              <w:rPr>
                <w:rFonts w:hint="eastAsia"/>
              </w:rPr>
              <w:t>手册》</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1518" w:type="dxa"/>
            <w:vMerge w:val="restart"/>
            <w:shd w:val="clear" w:color="auto" w:fill="auto"/>
          </w:tcPr>
          <w:p>
            <w:pPr>
              <w:shd w:val="clear"/>
            </w:pPr>
            <w:r>
              <w:rPr>
                <w:rFonts w:hint="eastAsia"/>
              </w:rPr>
              <w:t>运行的策划和控制</w:t>
            </w:r>
          </w:p>
        </w:tc>
        <w:tc>
          <w:tcPr>
            <w:tcW w:w="1055" w:type="dxa"/>
            <w:vMerge w:val="restart"/>
            <w:shd w:val="clear" w:color="auto" w:fill="auto"/>
          </w:tcPr>
          <w:p>
            <w:pPr>
              <w:shd w:val="clear"/>
            </w:pPr>
            <w:r>
              <w:rPr>
                <w:rFonts w:hint="eastAsia"/>
              </w:rPr>
              <w:t xml:space="preserve">Q8.1 </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.1</w:t>
            </w:r>
            <w:r>
              <w:rPr>
                <w:rFonts w:hint="eastAsia"/>
              </w:rPr>
              <w:t>条款、</w:t>
            </w:r>
            <w:r>
              <w:rPr>
                <w:rFonts w:hint="eastAsia"/>
              </w:rPr>
              <w:sym w:font="Wingdings" w:char="00A8"/>
            </w:r>
            <w:r>
              <w:rPr>
                <w:rFonts w:hint="eastAsia"/>
              </w:rPr>
              <w:t>《运行的策划和控制程序》</w:t>
            </w:r>
          </w:p>
        </w:tc>
        <w:tc>
          <w:tcPr>
            <w:tcW w:w="1585" w:type="dxa"/>
            <w:vMerge w:val="restart"/>
            <w:shd w:val="clear" w:color="auto" w:fill="auto"/>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rPr>
                <w:rFonts w:hint="eastAsia"/>
              </w:rPr>
            </w:pPr>
            <w:r>
              <w:rPr>
                <w:rFonts w:hint="eastAsia"/>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为满足产品和服务提供的要求，所确定的措施，组织通过以下措施对所需的过程进行策划、实施和控制：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412"/>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产品/服务的名称</w:t>
                  </w:r>
                </w:p>
              </w:tc>
              <w:tc>
                <w:tcPr>
                  <w:tcW w:w="4412" w:type="dxa"/>
                </w:tcPr>
                <w:p>
                  <w:pPr>
                    <w:shd w:val="clear"/>
                    <w:rPr>
                      <w:rFonts w:hint="default" w:eastAsia="宋体"/>
                      <w:lang w:val="en-US" w:eastAsia="zh-CN"/>
                    </w:rPr>
                  </w:pPr>
                  <w:r>
                    <w:rPr>
                      <w:sz w:val="20"/>
                    </w:rPr>
                    <w:t>速冻调制食品【生制品（盐渍鱼）】的生产</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产品和服务的要求</w:t>
                  </w:r>
                </w:p>
              </w:tc>
              <w:tc>
                <w:tcPr>
                  <w:tcW w:w="4412" w:type="dxa"/>
                </w:tcPr>
                <w:p>
                  <w:pPr>
                    <w:shd w:val="clear"/>
                  </w:pPr>
                  <w:r>
                    <w:rPr>
                      <w:rFonts w:hint="eastAsia"/>
                    </w:rPr>
                    <w:sym w:font="Wingdings" w:char="00A8"/>
                  </w:r>
                  <w:r>
                    <w:rPr>
                      <w:rFonts w:hint="eastAsia"/>
                    </w:rPr>
                    <w:t xml:space="preserve">图纸 </w:t>
                  </w:r>
                  <w:r>
                    <w:rPr>
                      <w:rFonts w:hint="eastAsia"/>
                    </w:rPr>
                    <w:sym w:font="Wingdings" w:char="00FE"/>
                  </w:r>
                  <w:r>
                    <w:rPr>
                      <w:rFonts w:hint="eastAsia"/>
                    </w:rPr>
                    <w:t>工艺流程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操作规程 </w:t>
                  </w:r>
                  <w:r>
                    <w:rPr>
                      <w:rFonts w:hint="eastAsia"/>
                    </w:rPr>
                    <w:sym w:font="Wingdings" w:char="00A8"/>
                  </w:r>
                  <w:r>
                    <w:rPr>
                      <w:rFonts w:hint="eastAsia"/>
                    </w:rPr>
                    <w:t>其他</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过程准则</w:t>
                  </w:r>
                </w:p>
              </w:tc>
              <w:tc>
                <w:tcPr>
                  <w:tcW w:w="4412" w:type="dxa"/>
                </w:tcPr>
                <w:p>
                  <w:pPr>
                    <w:shd w:val="clear"/>
                  </w:pPr>
                  <w:r>
                    <w:rPr>
                      <w:rFonts w:hint="eastAsia"/>
                    </w:rPr>
                    <w:sym w:font="Wingdings" w:char="00FE"/>
                  </w:r>
                  <w:r>
                    <w:rPr>
                      <w:rFonts w:hint="eastAsia"/>
                    </w:rPr>
                    <w:t xml:space="preserve">程序文件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作业指导书  </w:t>
                  </w:r>
                  <w:r>
                    <w:rPr>
                      <w:rFonts w:hint="eastAsia"/>
                    </w:rPr>
                    <w:sym w:font="Wingdings" w:char="00A8"/>
                  </w:r>
                  <w:r>
                    <w:rPr>
                      <w:rFonts w:hint="eastAsia"/>
                    </w:rPr>
                    <w:t xml:space="preserve">其他（验收标准） </w:t>
                  </w:r>
                  <w:r>
                    <w:rPr>
                      <w:rFonts w:hint="eastAsia"/>
                    </w:rPr>
                    <w:sym w:font="Wingdings" w:char="00A8"/>
                  </w:r>
                  <w:r>
                    <w:rPr>
                      <w:rFonts w:hint="eastAsia"/>
                    </w:rPr>
                    <w:t>其他</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shd w:val="clear"/>
                  </w:pPr>
                  <w:r>
                    <w:rPr>
                      <w:rFonts w:hint="eastAsia"/>
                    </w:rPr>
                    <w:t>产品和服务的接收准则</w:t>
                  </w:r>
                </w:p>
              </w:tc>
              <w:tc>
                <w:tcPr>
                  <w:tcW w:w="2087" w:type="dxa"/>
                </w:tcPr>
                <w:p>
                  <w:pPr>
                    <w:shd w:val="clear"/>
                  </w:pPr>
                  <w:r>
                    <w:rPr>
                      <w:rFonts w:hint="eastAsia"/>
                    </w:rPr>
                    <w:t>原材料接</w:t>
                  </w:r>
                  <w:r>
                    <w:rPr>
                      <w:rFonts w:hint="eastAsia"/>
                      <w:lang w:val="en-US" w:eastAsia="zh-CN"/>
                    </w:rPr>
                    <w:t>收</w:t>
                  </w:r>
                  <w:r>
                    <w:rPr>
                      <w:rFonts w:hint="eastAsia"/>
                    </w:rPr>
                    <w:t>标准</w:t>
                  </w:r>
                </w:p>
              </w:tc>
              <w:tc>
                <w:tcPr>
                  <w:tcW w:w="4412" w:type="dxa"/>
                </w:tcPr>
                <w:p>
                  <w:pPr>
                    <w:shd w:val="clear"/>
                  </w:pPr>
                  <w:r>
                    <w:rPr>
                      <w:rFonts w:hint="eastAsia"/>
                    </w:rPr>
                    <w:t>符合相关标准和客户合同订单要求</w:t>
                  </w:r>
                </w:p>
              </w:tc>
              <w:tc>
                <w:tcPr>
                  <w:tcW w:w="1617" w:type="dxa"/>
                  <w:vMerge w:val="restart"/>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过程产品放行标准</w:t>
                  </w:r>
                </w:p>
              </w:tc>
              <w:tc>
                <w:tcPr>
                  <w:tcW w:w="4412" w:type="dxa"/>
                </w:tcPr>
                <w:p>
                  <w:pPr>
                    <w:shd w:val="clear"/>
                  </w:pPr>
                  <w:r>
                    <w:rPr>
                      <w:rFonts w:hint="eastAsia"/>
                    </w:rPr>
                    <w:t>符合相关标准和客户合同订单要求</w:t>
                  </w:r>
                </w:p>
              </w:tc>
              <w:tc>
                <w:tcPr>
                  <w:tcW w:w="161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成品执行标准</w:t>
                  </w:r>
                </w:p>
              </w:tc>
              <w:tc>
                <w:tcPr>
                  <w:tcW w:w="4412" w:type="dxa"/>
                </w:tcPr>
                <w:p>
                  <w:pPr>
                    <w:shd w:val="clear"/>
                    <w:rPr>
                      <w:rFonts w:hint="default" w:eastAsia="宋体"/>
                      <w:lang w:val="en-US" w:eastAsia="zh-CN"/>
                    </w:rPr>
                  </w:pPr>
                  <w:r>
                    <w:rPr>
                      <w:rFonts w:hint="eastAsia"/>
                      <w:lang w:val="en-US" w:eastAsia="zh-CN"/>
                    </w:rPr>
                    <w:t>SB/T 10379  GB19295</w:t>
                  </w:r>
                </w:p>
              </w:tc>
              <w:tc>
                <w:tcPr>
                  <w:tcW w:w="161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服务规范</w:t>
                  </w:r>
                </w:p>
              </w:tc>
              <w:tc>
                <w:tcPr>
                  <w:tcW w:w="4412" w:type="dxa"/>
                </w:tcPr>
                <w:p>
                  <w:pPr>
                    <w:shd w:val="clear"/>
                    <w:rPr>
                      <w:rFonts w:hint="eastAsia" w:eastAsia="宋体"/>
                      <w:lang w:val="en-US" w:eastAsia="zh-CN"/>
                    </w:rPr>
                  </w:pPr>
                  <w:r>
                    <w:rPr>
                      <w:rFonts w:hint="eastAsia"/>
                      <w:lang w:val="en-US" w:eastAsia="zh-CN"/>
                    </w:rPr>
                    <w:t>——</w:t>
                  </w:r>
                </w:p>
              </w:tc>
              <w:tc>
                <w:tcPr>
                  <w:tcW w:w="161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所需的资源</w:t>
                  </w:r>
                </w:p>
              </w:tc>
              <w:tc>
                <w:tcPr>
                  <w:tcW w:w="4412"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必要的生产设备和工具  </w:t>
                  </w:r>
                  <w:r>
                    <w:rPr>
                      <w:rFonts w:hint="eastAsia"/>
                    </w:rPr>
                    <w:sym w:font="Wingdings" w:char="00FE"/>
                  </w:r>
                  <w:r>
                    <w:rPr>
                      <w:rFonts w:hint="eastAsia"/>
                    </w:rPr>
                    <w:t>必要的检测设备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确定符合产品和服务要求</w:t>
                  </w:r>
                </w:p>
              </w:tc>
              <w:tc>
                <w:tcPr>
                  <w:tcW w:w="4412" w:type="dxa"/>
                </w:tcPr>
                <w:p>
                  <w:pPr>
                    <w:shd w:val="clear"/>
                  </w:pPr>
                  <w:r>
                    <w:rPr>
                      <w:rFonts w:hint="eastAsia"/>
                    </w:rPr>
                    <w:t>见8</w:t>
                  </w:r>
                  <w:r>
                    <w:t>.5</w:t>
                  </w:r>
                  <w:r>
                    <w:rPr>
                      <w:rFonts w:hint="eastAsia"/>
                    </w:rPr>
                    <w:t>条款审核记录</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按照准则实施过程控制</w:t>
                  </w:r>
                </w:p>
              </w:tc>
              <w:tc>
                <w:tcPr>
                  <w:tcW w:w="4412" w:type="dxa"/>
                </w:tcPr>
                <w:p>
                  <w:pPr>
                    <w:shd w:val="clear"/>
                  </w:pPr>
                  <w:r>
                    <w:rPr>
                      <w:rFonts w:hint="eastAsia"/>
                    </w:rPr>
                    <w:t>见8</w:t>
                  </w:r>
                  <w:r>
                    <w:t>.5</w:t>
                  </w:r>
                  <w:r>
                    <w:rPr>
                      <w:rFonts w:hint="eastAsia"/>
                    </w:rPr>
                    <w:t>条款审核记录</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过程已经按策划进行证据</w:t>
                  </w:r>
                </w:p>
              </w:tc>
              <w:tc>
                <w:tcPr>
                  <w:tcW w:w="4412" w:type="dxa"/>
                </w:tcPr>
                <w:p>
                  <w:pPr>
                    <w:shd w:val="clear"/>
                  </w:pPr>
                  <w:r>
                    <w:rPr>
                      <w:rFonts w:hint="eastAsia"/>
                    </w:rPr>
                    <w:t>有流程图、管理制度</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产品和服务符合要求的证据</w:t>
                  </w:r>
                </w:p>
              </w:tc>
              <w:tc>
                <w:tcPr>
                  <w:tcW w:w="4412" w:type="dxa"/>
                </w:tcPr>
                <w:p>
                  <w:pPr>
                    <w:shd w:val="clear"/>
                    <w:rPr>
                      <w:rFonts w:hint="default" w:eastAsia="宋体"/>
                      <w:lang w:val="en-US" w:eastAsia="zh-CN"/>
                    </w:rPr>
                  </w:pPr>
                  <w:r>
                    <w:rPr>
                      <w:rFonts w:hint="eastAsia"/>
                      <w:lang w:val="en-US" w:eastAsia="zh-CN"/>
                    </w:rPr>
                    <w:t>索证、第三方检测报告、顾客满意度调查</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策划的变更的控制</w:t>
                  </w:r>
                </w:p>
              </w:tc>
              <w:tc>
                <w:tcPr>
                  <w:tcW w:w="4412" w:type="dxa"/>
                </w:tcPr>
                <w:p>
                  <w:pPr>
                    <w:shd w:val="clear"/>
                  </w:pPr>
                  <w:r>
                    <w:rPr>
                      <w:rFonts w:hint="eastAsia"/>
                    </w:rPr>
                    <w:t>未发生</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识别外包过程及控制方法</w:t>
                  </w:r>
                </w:p>
              </w:tc>
              <w:tc>
                <w:tcPr>
                  <w:tcW w:w="4412" w:type="dxa"/>
                </w:tcPr>
                <w:p>
                  <w:pPr>
                    <w:shd w:val="clear"/>
                    <w:rPr>
                      <w:rFonts w:hint="default" w:eastAsia="宋体"/>
                      <w:lang w:val="en-US" w:eastAsia="zh-CN"/>
                    </w:rPr>
                  </w:pPr>
                  <w:r>
                    <w:rPr>
                      <w:rFonts w:hint="eastAsia"/>
                      <w:lang w:val="en-US" w:eastAsia="zh-CN"/>
                    </w:rPr>
                    <w:t>无</w:t>
                  </w:r>
                </w:p>
              </w:tc>
              <w:tc>
                <w:tcPr>
                  <w:tcW w:w="1617" w:type="dxa"/>
                </w:tcPr>
                <w:p>
                  <w:pPr>
                    <w:shd w:val="clea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18" w:type="dxa"/>
            <w:vMerge w:val="restart"/>
            <w:shd w:val="clear" w:color="auto" w:fill="auto"/>
          </w:tcPr>
          <w:p>
            <w:pPr>
              <w:shd w:val="clear"/>
              <w:rPr>
                <w:highlight w:val="none"/>
              </w:rPr>
            </w:pPr>
            <w:r>
              <w:rPr>
                <w:rFonts w:hint="eastAsia"/>
                <w:highlight w:val="none"/>
              </w:rPr>
              <w:t>运行策划和控制</w:t>
            </w:r>
          </w:p>
        </w:tc>
        <w:tc>
          <w:tcPr>
            <w:tcW w:w="1055" w:type="dxa"/>
            <w:vMerge w:val="restart"/>
            <w:shd w:val="clear" w:color="auto" w:fill="auto"/>
          </w:tcPr>
          <w:p>
            <w:pPr>
              <w:shd w:val="clear"/>
              <w:rPr>
                <w:highlight w:val="none"/>
              </w:rPr>
            </w:pPr>
            <w:r>
              <w:rPr>
                <w:rFonts w:hint="eastAsia"/>
                <w:highlight w:val="none"/>
              </w:rPr>
              <w:t>F8.1</w:t>
            </w:r>
          </w:p>
          <w:p>
            <w:pPr>
              <w:shd w:val="clear"/>
              <w:rPr>
                <w:highlight w:val="none"/>
              </w:rPr>
            </w:pP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手册8.1条款、</w:t>
            </w:r>
            <w:r>
              <w:rPr>
                <w:highlight w:val="none"/>
              </w:rPr>
              <w:sym w:font="Wingdings" w:char="00FE"/>
            </w:r>
            <w:r>
              <w:rPr>
                <w:rFonts w:hint="eastAsia"/>
                <w:highlight w:val="none"/>
              </w:rPr>
              <w:t>《</w:t>
            </w:r>
            <w:r>
              <w:rPr>
                <w:rFonts w:hint="eastAsia"/>
                <w:highlight w:val="none"/>
                <w:lang w:val="en-US" w:eastAsia="zh-CN"/>
              </w:rPr>
              <w:t>招工与培训控制程序</w:t>
            </w:r>
            <w:r>
              <w:rPr>
                <w:rFonts w:hint="eastAsia"/>
                <w:highlight w:val="none"/>
              </w:rPr>
              <w:t>》</w:t>
            </w:r>
          </w:p>
        </w:tc>
        <w:tc>
          <w:tcPr>
            <w:tcW w:w="1585" w:type="dxa"/>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highlight w:val="none"/>
              </w:rPr>
            </w:pPr>
            <w:r>
              <w:rPr>
                <w:rFonts w:hint="eastAsia"/>
                <w:highlight w:val="none"/>
              </w:rPr>
              <w:t>组织通过采取下列措施，策划、实施、控制和更新满足要求的安全产品所必需的过程，并实施风险和机遇分析所确定的措施：</w:t>
            </w:r>
          </w:p>
          <w:p>
            <w:pPr>
              <w:numPr>
                <w:ilvl w:val="0"/>
                <w:numId w:val="5"/>
              </w:numPr>
              <w:shd w:val="clear"/>
              <w:rPr>
                <w:highlight w:val="none"/>
              </w:rPr>
            </w:pPr>
            <w:r>
              <w:rPr>
                <w:rFonts w:hint="eastAsia"/>
                <w:highlight w:val="none"/>
              </w:rPr>
              <w:t>为过程建立评价准则：</w:t>
            </w:r>
          </w:p>
          <w:p>
            <w:pPr>
              <w:shd w:val="clear"/>
              <w:rPr>
                <w:rFonts w:hint="default" w:eastAsia="宋体"/>
                <w:highlight w:val="none"/>
                <w:lang w:val="en-US" w:eastAsia="zh-CN"/>
              </w:rPr>
            </w:pP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前提方案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危害控制计划</w:t>
            </w:r>
          </w:p>
          <w:p>
            <w:pPr>
              <w:shd w:val="clea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原材料和接触材料特性描述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终产品特性描述</w:t>
            </w:r>
          </w:p>
          <w:p>
            <w:pPr>
              <w:numPr>
                <w:ilvl w:val="0"/>
                <w:numId w:val="5"/>
              </w:numPr>
              <w:shd w:val="clear"/>
              <w:rPr>
                <w:highlight w:val="none"/>
              </w:rPr>
            </w:pPr>
            <w:r>
              <w:rPr>
                <w:rFonts w:hint="eastAsia"/>
                <w:highlight w:val="none"/>
              </w:rPr>
              <w:t>按照准则实施过程控制；</w:t>
            </w:r>
          </w:p>
          <w:p>
            <w:pPr>
              <w:shd w:val="clear"/>
              <w:rPr>
                <w:highlight w:val="none"/>
                <w:u w:val="single"/>
              </w:rPr>
            </w:pPr>
            <w:r>
              <w:rPr>
                <w:rFonts w:hint="eastAsia"/>
                <w:highlight w:val="none"/>
              </w:rPr>
              <w:t xml:space="preserve">  </w:t>
            </w:r>
            <w:r>
              <w:rPr>
                <w:rFonts w:hint="eastAsia"/>
                <w:highlight w:val="none"/>
                <w:u w:val="single"/>
              </w:rPr>
              <w:t xml:space="preserve"> 见</w:t>
            </w:r>
            <w:r>
              <w:rPr>
                <w:rFonts w:hint="eastAsia"/>
                <w:highlight w:val="none"/>
                <w:u w:val="single"/>
                <w:lang w:val="en-US" w:eastAsia="zh-CN"/>
              </w:rPr>
              <w:t>生产</w:t>
            </w:r>
            <w:r>
              <w:rPr>
                <w:rFonts w:hint="eastAsia"/>
                <w:highlight w:val="none"/>
                <w:u w:val="single"/>
              </w:rPr>
              <w:t>过程控制记录和检查记录</w:t>
            </w:r>
          </w:p>
          <w:p>
            <w:pPr>
              <w:shd w:val="clear"/>
              <w:rPr>
                <w:highlight w:val="none"/>
              </w:rPr>
            </w:pPr>
          </w:p>
          <w:p>
            <w:pPr>
              <w:shd w:val="clear"/>
              <w:rPr>
                <w:highlight w:val="none"/>
              </w:rPr>
            </w:pPr>
            <w:r>
              <w:rPr>
                <w:rFonts w:hint="eastAsia"/>
                <w:highlight w:val="none"/>
              </w:rPr>
              <w:t>组织应控制策划的更改，评审非预期变更的后果，必要时，采取措施消除不利影响。（见8.6）</w:t>
            </w:r>
          </w:p>
          <w:p>
            <w:pPr>
              <w:shd w:val="clear"/>
              <w:rPr>
                <w:highlight w:val="none"/>
              </w:rPr>
            </w:pPr>
          </w:p>
          <w:p>
            <w:pPr>
              <w:shd w:val="clear"/>
              <w:rPr>
                <w:highlight w:val="none"/>
              </w:rPr>
            </w:pPr>
            <w:r>
              <w:rPr>
                <w:rFonts w:hint="eastAsia"/>
                <w:highlight w:val="none"/>
              </w:rPr>
              <w:t>组织的外包过程：</w:t>
            </w:r>
            <w:r>
              <w:rPr>
                <w:rFonts w:hint="eastAsia"/>
                <w:highlight w:val="none"/>
                <w:u w:val="single"/>
              </w:rPr>
              <w:t xml:space="preserve">  </w:t>
            </w:r>
            <w:r>
              <w:rPr>
                <w:rFonts w:hint="eastAsia"/>
                <w:color w:val="000000"/>
                <w:highlight w:val="none"/>
                <w:u w:val="single"/>
              </w:rPr>
              <w:t>无</w:t>
            </w:r>
            <w:r>
              <w:rPr>
                <w:rFonts w:hint="eastAsia"/>
                <w:color w:val="000000"/>
                <w:highlight w:val="none"/>
                <w:u w:val="single"/>
                <w:lang w:val="en-US" w:eastAsia="zh-CN"/>
              </w:rPr>
              <w:t xml:space="preserve">  </w:t>
            </w:r>
            <w:r>
              <w:rPr>
                <w:rFonts w:hint="eastAsia"/>
                <w:highlight w:val="none"/>
                <w:u w:val="single"/>
              </w:rPr>
              <w:t xml:space="preserve"> </w:t>
            </w:r>
            <w:r>
              <w:rPr>
                <w:rFonts w:hint="eastAsia"/>
                <w:highlight w:val="none"/>
              </w:rPr>
              <w:t>。</w:t>
            </w:r>
          </w:p>
          <w:p>
            <w:pPr>
              <w:shd w:val="clear"/>
              <w:rPr>
                <w:highlight w:val="none"/>
              </w:rPr>
            </w:pPr>
            <w:r>
              <w:rPr>
                <w:rFonts w:hint="eastAsia"/>
                <w:highlight w:val="none"/>
                <w:lang w:val="en-US" w:eastAsia="zh-CN"/>
              </w:rPr>
              <w:t>若后期有</w:t>
            </w:r>
            <w:r>
              <w:rPr>
                <w:rFonts w:hint="eastAsia"/>
                <w:highlight w:val="none"/>
              </w:rPr>
              <w:t>外包过程的控制（见7.1.6）。</w:t>
            </w:r>
          </w:p>
        </w:tc>
        <w:tc>
          <w:tcPr>
            <w:tcW w:w="1585" w:type="dxa"/>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restart"/>
            <w:shd w:val="clear" w:color="auto" w:fill="auto"/>
          </w:tcPr>
          <w:p>
            <w:pPr>
              <w:shd w:val="clear"/>
              <w:rPr>
                <w:rFonts w:hint="default" w:eastAsia="宋体"/>
                <w:highlight w:val="none"/>
                <w:lang w:val="en-US" w:eastAsia="zh-CN"/>
              </w:rPr>
            </w:pPr>
            <w:r>
              <w:rPr>
                <w:rFonts w:hint="eastAsia"/>
                <w:highlight w:val="none"/>
              </w:rPr>
              <w:t>应急准备和响应</w:t>
            </w:r>
            <w:r>
              <w:rPr>
                <w:rFonts w:hint="eastAsia"/>
                <w:highlight w:val="none"/>
                <w:lang w:val="en-US" w:eastAsia="zh-CN"/>
              </w:rPr>
              <w:t>/应急预案</w:t>
            </w:r>
          </w:p>
        </w:tc>
        <w:tc>
          <w:tcPr>
            <w:tcW w:w="1055" w:type="dxa"/>
            <w:vMerge w:val="restart"/>
            <w:shd w:val="clear" w:color="auto" w:fill="auto"/>
          </w:tcPr>
          <w:p>
            <w:pPr>
              <w:shd w:val="clear"/>
              <w:rPr>
                <w:rFonts w:hint="default"/>
                <w:highlight w:val="none"/>
                <w:lang w:val="en-US" w:eastAsia="zh-CN"/>
              </w:rPr>
            </w:pPr>
            <w:r>
              <w:rPr>
                <w:rFonts w:hint="eastAsia"/>
                <w:highlight w:val="none"/>
                <w:lang w:val="en-US" w:eastAsia="zh-CN"/>
              </w:rPr>
              <w:t>F8.4</w:t>
            </w:r>
          </w:p>
          <w:p>
            <w:pPr>
              <w:shd w:val="clear"/>
              <w:rPr>
                <w:highlight w:val="none"/>
              </w:rPr>
            </w:pP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highlight w:val="none"/>
              </w:rPr>
            </w:pPr>
            <w:r>
              <w:rPr>
                <w:rFonts w:hint="eastAsia"/>
                <w:highlight w:val="none"/>
                <w:lang w:val="en-US" w:eastAsia="zh-CN"/>
              </w:rPr>
              <w:t>经询问了解：审核周期内未发生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并且由食品安全小组牵头组织进行演练，经过评审基本可以达到演练效果，</w:t>
            </w:r>
            <w:r>
              <w:rPr>
                <w:rFonts w:hint="eastAsia"/>
                <w:highlight w:val="none"/>
                <w:u w:val="single"/>
                <w:lang w:val="en-US" w:eastAsia="zh-CN"/>
              </w:rPr>
              <w:t>具体“见食品安全小组、生产部审核记录”</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18" w:type="dxa"/>
            <w:vMerge w:val="restart"/>
            <w:shd w:val="clear" w:color="auto" w:fill="auto"/>
          </w:tcPr>
          <w:p>
            <w:pPr>
              <w:shd w:val="clear"/>
            </w:pPr>
            <w:r>
              <w:rPr>
                <w:rFonts w:hint="eastAsia"/>
              </w:rPr>
              <w:t>监视、测量、分析和评价</w:t>
            </w:r>
          </w:p>
        </w:tc>
        <w:tc>
          <w:tcPr>
            <w:tcW w:w="1055" w:type="dxa"/>
            <w:vMerge w:val="restart"/>
            <w:shd w:val="clear" w:color="auto" w:fill="auto"/>
          </w:tcPr>
          <w:p>
            <w:pPr>
              <w:shd w:val="clear"/>
            </w:pPr>
            <w:r>
              <w:rPr>
                <w:rFonts w:hint="eastAsia"/>
              </w:rPr>
              <w:t>Q9.1.1 F9.1.1</w:t>
            </w:r>
          </w:p>
        </w:tc>
        <w:tc>
          <w:tcPr>
            <w:tcW w:w="893" w:type="dxa"/>
            <w:shd w:val="clear" w:color="auto" w:fill="auto"/>
          </w:tcPr>
          <w:p>
            <w:pPr>
              <w:shd w:val="clear"/>
            </w:pPr>
            <w:r>
              <w:rPr>
                <w:rFonts w:hint="eastAsia"/>
              </w:rPr>
              <w:t>文件名称</w:t>
            </w:r>
          </w:p>
        </w:tc>
        <w:tc>
          <w:tcPr>
            <w:tcW w:w="9373" w:type="dxa"/>
            <w:shd w:val="clear" w:color="auto" w:fill="auto"/>
          </w:tcPr>
          <w:p>
            <w:pPr>
              <w:shd w:val="clea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7"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组织对监视和测量的质量食品安全绩效：</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651"/>
              <w:gridCol w:w="2025"/>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监视和测量的对象</w:t>
                  </w:r>
                </w:p>
              </w:tc>
              <w:tc>
                <w:tcPr>
                  <w:tcW w:w="2456" w:type="dxa"/>
                </w:tcPr>
                <w:p>
                  <w:pPr>
                    <w:shd w:val="clear"/>
                    <w:rPr>
                      <w:szCs w:val="21"/>
                    </w:rPr>
                  </w:pPr>
                  <w:r>
                    <w:rPr>
                      <w:rFonts w:hint="eastAsia"/>
                      <w:szCs w:val="21"/>
                    </w:rPr>
                    <w:t>监视、测量、分析和评价的方法</w:t>
                  </w:r>
                </w:p>
              </w:tc>
              <w:tc>
                <w:tcPr>
                  <w:tcW w:w="1651" w:type="dxa"/>
                </w:tcPr>
                <w:p>
                  <w:pPr>
                    <w:shd w:val="clear"/>
                    <w:rPr>
                      <w:szCs w:val="21"/>
                    </w:rPr>
                  </w:pPr>
                  <w:r>
                    <w:rPr>
                      <w:rFonts w:hint="eastAsia"/>
                      <w:szCs w:val="21"/>
                    </w:rPr>
                    <w:t>监视和测量的频次和时机</w:t>
                  </w:r>
                </w:p>
              </w:tc>
              <w:tc>
                <w:tcPr>
                  <w:tcW w:w="2025" w:type="dxa"/>
                </w:tcPr>
                <w:p>
                  <w:pPr>
                    <w:shd w:val="clear"/>
                    <w:rPr>
                      <w:szCs w:val="21"/>
                    </w:rPr>
                  </w:pPr>
                  <w:r>
                    <w:rPr>
                      <w:rFonts w:hint="eastAsia"/>
                      <w:szCs w:val="21"/>
                    </w:rPr>
                    <w:t>评价其质量/食品安全绩效所依据的准则和适当的参数</w:t>
                  </w:r>
                </w:p>
              </w:tc>
              <w:tc>
                <w:tcPr>
                  <w:tcW w:w="1738" w:type="dxa"/>
                </w:tcPr>
                <w:p>
                  <w:pPr>
                    <w:shd w:val="clea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水质和</w:t>
                  </w:r>
                  <w:r>
                    <w:rPr>
                      <w:rFonts w:hint="eastAsia"/>
                      <w:szCs w:val="21"/>
                      <w:lang w:val="en-US" w:eastAsia="zh-CN"/>
                    </w:rPr>
                    <w:t>产品</w:t>
                  </w:r>
                  <w:r>
                    <w:rPr>
                      <w:rFonts w:hint="eastAsia"/>
                      <w:szCs w:val="21"/>
                    </w:rPr>
                    <w:t>检测</w:t>
                  </w:r>
                </w:p>
              </w:tc>
              <w:tc>
                <w:tcPr>
                  <w:tcW w:w="2456" w:type="dxa"/>
                </w:tcPr>
                <w:p>
                  <w:pPr>
                    <w:shd w:val="clear"/>
                    <w:rPr>
                      <w:rFonts w:hint="default"/>
                      <w:szCs w:val="21"/>
                      <w:lang w:val="en-US" w:eastAsia="zh-CN"/>
                    </w:rPr>
                  </w:pPr>
                  <w:r>
                    <w:rPr>
                      <w:rFonts w:hint="eastAsia"/>
                      <w:szCs w:val="21"/>
                      <w:lang w:val="en-US" w:eastAsia="zh-CN"/>
                    </w:rPr>
                    <w:t>水质：每年索取绩溪县自来水厂检测报告，委托进行官网末梢水的检测，但未明确周期频率等，已现场沟通；</w:t>
                  </w:r>
                </w:p>
                <w:p>
                  <w:pPr>
                    <w:shd w:val="clear"/>
                    <w:rPr>
                      <w:rFonts w:hint="default"/>
                      <w:szCs w:val="21"/>
                      <w:lang w:val="en-US"/>
                    </w:rPr>
                  </w:pPr>
                  <w:r>
                    <w:rPr>
                      <w:rFonts w:hint="eastAsia"/>
                      <w:szCs w:val="21"/>
                      <w:lang w:val="en-US" w:eastAsia="zh-CN"/>
                    </w:rPr>
                    <w:t>产品：每半年送检1次</w:t>
                  </w:r>
                </w:p>
              </w:tc>
              <w:tc>
                <w:tcPr>
                  <w:tcW w:w="1651" w:type="dxa"/>
                </w:tcPr>
                <w:p>
                  <w:pPr>
                    <w:widowControl/>
                    <w:shd w:val="clear"/>
                    <w:spacing w:before="40"/>
                    <w:jc w:val="left"/>
                    <w:rPr>
                      <w:rFonts w:hint="default" w:eastAsia="宋体"/>
                      <w:color w:val="000000"/>
                      <w:szCs w:val="21"/>
                      <w:lang w:val="en-US" w:eastAsia="zh-CN"/>
                    </w:rPr>
                  </w:pPr>
                  <w:r>
                    <w:rPr>
                      <w:rFonts w:hint="eastAsia"/>
                      <w:color w:val="000000"/>
                      <w:szCs w:val="21"/>
                    </w:rPr>
                    <w:sym w:font="Wingdings 2" w:char="0052"/>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p>
              </w:tc>
              <w:tc>
                <w:tcPr>
                  <w:tcW w:w="2025" w:type="dxa"/>
                </w:tcPr>
                <w:p>
                  <w:pPr>
                    <w:shd w:val="clear"/>
                    <w:rPr>
                      <w:rFonts w:hint="eastAsia"/>
                    </w:rPr>
                  </w:pPr>
                  <w:r>
                    <w:rPr>
                      <w:rFonts w:hint="eastAsia"/>
                      <w:lang w:val="en-US" w:eastAsia="zh-CN"/>
                    </w:rPr>
                    <w:t>产品的</w:t>
                  </w:r>
                  <w:r>
                    <w:rPr>
                      <w:rFonts w:hint="eastAsia"/>
                    </w:rPr>
                    <w:t>相关国家标准</w:t>
                  </w:r>
                </w:p>
                <w:p>
                  <w:pPr>
                    <w:pStyle w:val="6"/>
                    <w:shd w:val="clear"/>
                    <w:rPr>
                      <w:rFonts w:hint="default" w:eastAsia="宋体"/>
                      <w:lang w:val="en-US" w:eastAsia="zh-CN"/>
                    </w:rPr>
                  </w:pPr>
                  <w:r>
                    <w:rPr>
                      <w:rFonts w:hint="eastAsia"/>
                      <w:szCs w:val="21"/>
                      <w:lang w:val="en-US" w:eastAsia="zh-CN"/>
                    </w:rPr>
                    <w:t>GB5749-2006</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过程</w:t>
                  </w:r>
                </w:p>
              </w:tc>
              <w:tc>
                <w:tcPr>
                  <w:tcW w:w="2456" w:type="dxa"/>
                </w:tcPr>
                <w:p>
                  <w:pPr>
                    <w:shd w:val="clear"/>
                    <w:rPr>
                      <w:szCs w:val="21"/>
                    </w:rPr>
                  </w:pPr>
                  <w:r>
                    <w:rPr>
                      <w:rFonts w:hint="eastAsia"/>
                      <w:szCs w:val="21"/>
                    </w:rPr>
                    <w:t>现场巡视</w:t>
                  </w:r>
                </w:p>
                <w:p>
                  <w:pPr>
                    <w:shd w:val="clear"/>
                    <w:rPr>
                      <w:szCs w:val="21"/>
                    </w:rPr>
                  </w:pPr>
                  <w:r>
                    <w:rPr>
                      <w:rFonts w:hint="eastAsia"/>
                      <w:szCs w:val="21"/>
                    </w:rPr>
                    <w:t>抽查记录</w:t>
                  </w:r>
                </w:p>
                <w:p>
                  <w:pPr>
                    <w:shd w:val="clear"/>
                    <w:rPr>
                      <w:szCs w:val="21"/>
                    </w:rPr>
                  </w:pPr>
                  <w:r>
                    <w:rPr>
                      <w:rFonts w:hint="eastAsia"/>
                      <w:szCs w:val="21"/>
                    </w:rPr>
                    <w:t>对目标、供方业绩、过程业绩、满意度进行统计</w:t>
                  </w:r>
                </w:p>
              </w:tc>
              <w:tc>
                <w:tcPr>
                  <w:tcW w:w="1651" w:type="dxa"/>
                </w:tcPr>
                <w:p>
                  <w:pPr>
                    <w:shd w:val="clear"/>
                    <w:rPr>
                      <w:szCs w:val="21"/>
                    </w:rPr>
                  </w:pPr>
                  <w:r>
                    <w:rPr>
                      <w:rFonts w:ascii="Segoe UI Emoji" w:hAnsi="Segoe UI Emoji" w:cs="Segoe UI Emoji"/>
                      <w:color w:val="000000"/>
                      <w:sz w:val="15"/>
                      <w:szCs w:val="15"/>
                    </w:rPr>
                    <w:t>☑</w:t>
                  </w:r>
                  <w:r>
                    <w:rPr>
                      <w:rFonts w:hint="eastAsia"/>
                      <w:szCs w:val="21"/>
                    </w:rPr>
                    <w:t>定期检查</w:t>
                  </w:r>
                </w:p>
                <w:p>
                  <w:pPr>
                    <w:shd w:val="clear"/>
                    <w:rPr>
                      <w:szCs w:val="21"/>
                    </w:rPr>
                  </w:pPr>
                  <w:r>
                    <w:rPr>
                      <w:rFonts w:ascii="Segoe UI Emoji" w:hAnsi="Segoe UI Emoji" w:cs="Segoe UI Emoji"/>
                      <w:color w:val="000000"/>
                      <w:sz w:val="15"/>
                      <w:szCs w:val="15"/>
                    </w:rPr>
                    <w:t>☑</w:t>
                  </w:r>
                  <w:r>
                    <w:rPr>
                      <w:rFonts w:hint="eastAsia"/>
                      <w:szCs w:val="21"/>
                    </w:rPr>
                    <w:t>抽查</w:t>
                  </w:r>
                </w:p>
                <w:p>
                  <w:pPr>
                    <w:shd w:val="clear"/>
                    <w:rPr>
                      <w:szCs w:val="21"/>
                    </w:rPr>
                  </w:pPr>
                  <w:r>
                    <w:rPr>
                      <w:rFonts w:ascii="Segoe UI Emoji" w:hAnsi="Segoe UI Emoji" w:cs="Segoe UI Emoji"/>
                      <w:color w:val="000000"/>
                      <w:sz w:val="15"/>
                      <w:szCs w:val="15"/>
                    </w:rPr>
                    <w:t>☑</w:t>
                  </w:r>
                  <w:r>
                    <w:rPr>
                      <w:rFonts w:hint="eastAsia"/>
                      <w:color w:val="000000"/>
                      <w:szCs w:val="21"/>
                    </w:rPr>
                    <w:t>每年</w:t>
                  </w:r>
                </w:p>
              </w:tc>
              <w:tc>
                <w:tcPr>
                  <w:tcW w:w="2025" w:type="dxa"/>
                </w:tcPr>
                <w:p>
                  <w:pPr>
                    <w:shd w:val="clear"/>
                    <w:rPr>
                      <w:rFonts w:hint="default" w:eastAsia="宋体"/>
                      <w:szCs w:val="21"/>
                      <w:lang w:val="en-US" w:eastAsia="zh-CN"/>
                    </w:rPr>
                  </w:pPr>
                  <w:r>
                    <w:rPr>
                      <w:rFonts w:hint="eastAsia"/>
                      <w:szCs w:val="21"/>
                      <w:lang w:val="en-US" w:eastAsia="zh-CN"/>
                    </w:rPr>
                    <w:t>前提方案、危害控制计划、作业指导书等</w:t>
                  </w:r>
                </w:p>
              </w:tc>
              <w:tc>
                <w:tcPr>
                  <w:tcW w:w="1738" w:type="dxa"/>
                </w:tcPr>
                <w:p>
                  <w:pPr>
                    <w:widowControl/>
                    <w:shd w:val="clear"/>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体系</w:t>
                  </w:r>
                </w:p>
              </w:tc>
              <w:tc>
                <w:tcPr>
                  <w:tcW w:w="2456" w:type="dxa"/>
                </w:tcPr>
                <w:p>
                  <w:pPr>
                    <w:shd w:val="clear"/>
                    <w:rPr>
                      <w:szCs w:val="21"/>
                    </w:rPr>
                  </w:pPr>
                  <w:r>
                    <w:rPr>
                      <w:rFonts w:hint="eastAsia"/>
                      <w:szCs w:val="21"/>
                    </w:rPr>
                    <w:t>内部审核；对内审不符合项进行分析</w:t>
                  </w:r>
                </w:p>
              </w:tc>
              <w:tc>
                <w:tcPr>
                  <w:tcW w:w="1651" w:type="dxa"/>
                </w:tcPr>
                <w:p>
                  <w:pPr>
                    <w:shd w:val="clear"/>
                    <w:rPr>
                      <w:szCs w:val="21"/>
                    </w:rPr>
                  </w:pPr>
                  <w:r>
                    <w:rPr>
                      <w:rFonts w:ascii="Segoe UI Emoji" w:hAnsi="Segoe UI Emoji" w:cs="Segoe UI Emoji"/>
                      <w:color w:val="000000"/>
                      <w:sz w:val="15"/>
                      <w:szCs w:val="15"/>
                    </w:rPr>
                    <w:t>☑</w:t>
                  </w:r>
                  <w:r>
                    <w:rPr>
                      <w:rFonts w:hint="eastAsia"/>
                      <w:szCs w:val="21"/>
                    </w:rPr>
                    <w:t>按年度内审计划</w:t>
                  </w:r>
                </w:p>
                <w:p>
                  <w:pPr>
                    <w:shd w:val="clear"/>
                    <w:rPr>
                      <w:szCs w:val="21"/>
                    </w:rPr>
                  </w:pPr>
                  <w:r>
                    <w:rPr>
                      <w:rFonts w:hint="eastAsia"/>
                      <w:color w:val="000000"/>
                      <w:szCs w:val="21"/>
                    </w:rPr>
                    <w:sym w:font="Wingdings 2" w:char="0052"/>
                  </w:r>
                  <w:r>
                    <w:rPr>
                      <w:rFonts w:hint="eastAsia"/>
                      <w:szCs w:val="21"/>
                    </w:rPr>
                    <w:t>每年一次</w:t>
                  </w:r>
                </w:p>
                <w:p>
                  <w:pPr>
                    <w:shd w:val="clear"/>
                    <w:rPr>
                      <w:szCs w:val="21"/>
                    </w:rPr>
                  </w:pPr>
                  <w:r>
                    <w:rPr>
                      <w:rFonts w:hint="eastAsia"/>
                      <w:color w:val="000000"/>
                      <w:szCs w:val="21"/>
                    </w:rPr>
                    <w:sym w:font="Wingdings 2" w:char="0052"/>
                  </w:r>
                  <w:r>
                    <w:rPr>
                      <w:rFonts w:hint="eastAsia"/>
                      <w:color w:val="000000"/>
                      <w:szCs w:val="21"/>
                    </w:rPr>
                    <w:t>特殊情况增加</w:t>
                  </w:r>
                </w:p>
              </w:tc>
              <w:tc>
                <w:tcPr>
                  <w:tcW w:w="2025" w:type="dxa"/>
                </w:tcPr>
                <w:p>
                  <w:pPr>
                    <w:shd w:val="clear"/>
                  </w:pPr>
                  <w:r>
                    <w:rPr>
                      <w:rFonts w:hint="eastAsia"/>
                    </w:rPr>
                    <w:t>GB/T19001-2016</w:t>
                  </w:r>
                </w:p>
                <w:p>
                  <w:pPr>
                    <w:shd w:val="clear"/>
                    <w:rPr>
                      <w:rFonts w:hint="eastAsia"/>
                    </w:rPr>
                  </w:pPr>
                  <w:r>
                    <w:rPr>
                      <w:rFonts w:hint="eastAsia"/>
                    </w:rPr>
                    <w:t>ISO22000：2018</w:t>
                  </w:r>
                </w:p>
                <w:p>
                  <w:pPr>
                    <w:pStyle w:val="6"/>
                    <w:shd w:val="clear"/>
                    <w:rPr>
                      <w:rFonts w:hint="default" w:eastAsia="宋体"/>
                      <w:lang w:val="en-US" w:eastAsia="zh-CN"/>
                    </w:rPr>
                  </w:pP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体系有效性</w:t>
                  </w:r>
                </w:p>
              </w:tc>
              <w:tc>
                <w:tcPr>
                  <w:tcW w:w="2456" w:type="dxa"/>
                </w:tcPr>
                <w:p>
                  <w:pPr>
                    <w:shd w:val="clear"/>
                    <w:rPr>
                      <w:szCs w:val="21"/>
                    </w:rPr>
                  </w:pPr>
                  <w:r>
                    <w:rPr>
                      <w:rFonts w:hint="eastAsia"/>
                      <w:szCs w:val="21"/>
                    </w:rPr>
                    <w:t>管理评审，对QMS/FSMS存在的需要问题进行分析</w:t>
                  </w:r>
                </w:p>
              </w:tc>
              <w:tc>
                <w:tcPr>
                  <w:tcW w:w="1651" w:type="dxa"/>
                </w:tcPr>
                <w:p>
                  <w:pPr>
                    <w:shd w:val="clear"/>
                    <w:rPr>
                      <w:szCs w:val="21"/>
                    </w:rPr>
                  </w:pPr>
                  <w:r>
                    <w:rPr>
                      <w:rFonts w:ascii="Segoe UI Emoji" w:hAnsi="Segoe UI Emoji" w:cs="Segoe UI Emoji"/>
                      <w:color w:val="000000"/>
                      <w:sz w:val="15"/>
                      <w:szCs w:val="15"/>
                    </w:rPr>
                    <w:t>☑</w:t>
                  </w:r>
                  <w:r>
                    <w:rPr>
                      <w:rFonts w:hint="eastAsia"/>
                      <w:szCs w:val="21"/>
                    </w:rPr>
                    <w:t>每年一次</w:t>
                  </w:r>
                </w:p>
                <w:p>
                  <w:pPr>
                    <w:shd w:val="clear"/>
                    <w:rPr>
                      <w:szCs w:val="21"/>
                    </w:rPr>
                  </w:pPr>
                  <w:r>
                    <w:rPr>
                      <w:rFonts w:hint="eastAsia"/>
                      <w:color w:val="000000"/>
                      <w:szCs w:val="21"/>
                    </w:rPr>
                    <w:sym w:font="Wingdings 2" w:char="0052"/>
                  </w:r>
                  <w:r>
                    <w:rPr>
                      <w:rFonts w:hint="eastAsia"/>
                      <w:color w:val="000000"/>
                      <w:szCs w:val="21"/>
                    </w:rPr>
                    <w:t>特殊情况增加</w:t>
                  </w:r>
                </w:p>
              </w:tc>
              <w:tc>
                <w:tcPr>
                  <w:tcW w:w="2025" w:type="dxa"/>
                </w:tcPr>
                <w:p>
                  <w:pPr>
                    <w:shd w:val="clear"/>
                    <w:rPr>
                      <w:szCs w:val="21"/>
                    </w:rPr>
                  </w:pPr>
                  <w:r>
                    <w:rPr>
                      <w:rFonts w:hint="eastAsia"/>
                      <w:szCs w:val="21"/>
                    </w:rPr>
                    <w:t>GB/T19001-2016</w:t>
                  </w:r>
                </w:p>
                <w:p>
                  <w:pPr>
                    <w:shd w:val="clear"/>
                    <w:rPr>
                      <w:szCs w:val="21"/>
                    </w:rPr>
                  </w:pPr>
                  <w:r>
                    <w:rPr>
                      <w:rFonts w:hint="eastAsia"/>
                      <w:szCs w:val="21"/>
                    </w:rPr>
                    <w:t>ISO22000：2018</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相关方反馈</w:t>
                  </w:r>
                </w:p>
              </w:tc>
              <w:tc>
                <w:tcPr>
                  <w:tcW w:w="2456" w:type="dxa"/>
                </w:tcPr>
                <w:p>
                  <w:pPr>
                    <w:shd w:val="clear"/>
                    <w:rPr>
                      <w:szCs w:val="21"/>
                    </w:rPr>
                  </w:pPr>
                  <w:r>
                    <w:rPr>
                      <w:rFonts w:hint="eastAsia"/>
                      <w:szCs w:val="21"/>
                    </w:rPr>
                    <w:t>反馈处理，对问题进行统计</w:t>
                  </w:r>
                </w:p>
              </w:tc>
              <w:tc>
                <w:tcPr>
                  <w:tcW w:w="1651" w:type="dxa"/>
                </w:tcPr>
                <w:p>
                  <w:pPr>
                    <w:shd w:val="clea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发生时进行处理</w:t>
                  </w:r>
                </w:p>
                <w:p>
                  <w:pPr>
                    <w:shd w:val="clear"/>
                    <w:rPr>
                      <w:szCs w:val="21"/>
                    </w:rPr>
                  </w:pPr>
                  <w:r>
                    <w:rPr>
                      <w:rFonts w:hint="eastAsia" w:ascii="Segoe UI Emoji" w:hAnsi="Segoe UI Emoji" w:cs="Segoe UI Emoji"/>
                      <w:color w:val="000000"/>
                      <w:sz w:val="15"/>
                      <w:szCs w:val="15"/>
                      <w:lang w:eastAsia="zh-CN"/>
                    </w:rPr>
                    <w:t>□</w:t>
                  </w:r>
                  <w:r>
                    <w:rPr>
                      <w:rFonts w:hint="eastAsia"/>
                      <w:szCs w:val="21"/>
                    </w:rPr>
                    <w:t>每年一次</w:t>
                  </w:r>
                </w:p>
              </w:tc>
              <w:tc>
                <w:tcPr>
                  <w:tcW w:w="2025" w:type="dxa"/>
                </w:tcPr>
                <w:p>
                  <w:pPr>
                    <w:shd w:val="clear"/>
                    <w:rPr>
                      <w:rFonts w:hint="default" w:eastAsia="宋体"/>
                      <w:szCs w:val="21"/>
                      <w:lang w:val="en-US" w:eastAsia="zh-CN"/>
                    </w:rPr>
                  </w:pPr>
                  <w:r>
                    <w:rPr>
                      <w:rFonts w:hint="eastAsia"/>
                      <w:szCs w:val="21"/>
                    </w:rPr>
                    <w:t>按企业程序文件</w:t>
                  </w:r>
                  <w:r>
                    <w:rPr>
                      <w:rFonts w:hint="eastAsia"/>
                      <w:szCs w:val="21"/>
                      <w:lang w:val="en-US" w:eastAsia="zh-CN"/>
                    </w:rPr>
                    <w:t>,顾客满意度调查等进行</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trPr>
        <w:tc>
          <w:tcPr>
            <w:tcW w:w="1518" w:type="dxa"/>
            <w:vMerge w:val="restart"/>
            <w:shd w:val="clear" w:color="auto" w:fill="auto"/>
          </w:tcPr>
          <w:p>
            <w:pPr>
              <w:shd w:val="clear"/>
            </w:pPr>
            <w:r>
              <w:rPr>
                <w:rFonts w:hint="eastAsia"/>
              </w:rPr>
              <w:t>内部审核</w:t>
            </w:r>
          </w:p>
        </w:tc>
        <w:tc>
          <w:tcPr>
            <w:tcW w:w="1055" w:type="dxa"/>
            <w:vMerge w:val="restart"/>
            <w:shd w:val="clear" w:color="auto" w:fill="auto"/>
          </w:tcPr>
          <w:p>
            <w:pPr>
              <w:shd w:val="clear"/>
              <w:rPr>
                <w:rFonts w:hint="eastAsia"/>
              </w:rPr>
            </w:pPr>
            <w:r>
              <w:rPr>
                <w:rFonts w:hint="eastAsia"/>
                <w:lang w:val="en-US" w:eastAsia="zh-CN"/>
              </w:rPr>
              <w:t>Q</w:t>
            </w:r>
            <w:r>
              <w:rPr>
                <w:rFonts w:hint="eastAsia"/>
              </w:rPr>
              <w:t>9.2</w:t>
            </w:r>
          </w:p>
          <w:p>
            <w:pPr>
              <w:shd w:val="clear"/>
              <w:rPr>
                <w:rFonts w:hint="eastAsia"/>
              </w:rPr>
            </w:pPr>
            <w:r>
              <w:rPr>
                <w:rFonts w:hint="eastAsia"/>
              </w:rPr>
              <w:t>F9.2</w:t>
            </w:r>
          </w:p>
          <w:p>
            <w:pPr>
              <w:pStyle w:val="3"/>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sym w:font="Wingdings" w:char="00FE"/>
            </w:r>
            <w:r>
              <w:rPr>
                <w:rFonts w:hint="eastAsia"/>
              </w:rPr>
              <w:t>《内审控制程序》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widowControl/>
              <w:shd w:val="clear"/>
              <w:spacing w:before="40"/>
              <w:jc w:val="left"/>
              <w:rPr>
                <w:color w:val="000000"/>
                <w:szCs w:val="18"/>
              </w:rPr>
            </w:pPr>
            <w:r>
              <w:rPr>
                <w:rFonts w:hint="eastAsia"/>
                <w:color w:val="000000"/>
                <w:szCs w:val="21"/>
              </w:rPr>
              <w:t>☑</w:t>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11</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日实施了</w:t>
            </w:r>
            <w:r>
              <w:rPr>
                <w:rFonts w:hint="eastAsia"/>
                <w:color w:val="000000"/>
                <w:szCs w:val="18"/>
                <w:lang w:val="en-US" w:eastAsia="zh-CN"/>
              </w:rPr>
              <w:t>QMS</w:t>
            </w:r>
            <w:r>
              <w:rPr>
                <w:rFonts w:hint="eastAsia"/>
                <w:color w:val="000000"/>
                <w:szCs w:val="18"/>
              </w:rPr>
              <w:t>内部审核</w:t>
            </w:r>
            <w:r>
              <w:rPr>
                <w:rFonts w:hint="eastAsia"/>
                <w:color w:val="000000"/>
                <w:szCs w:val="18"/>
                <w:lang w:eastAsia="zh-CN"/>
              </w:rPr>
              <w:t>，</w:t>
            </w:r>
            <w:r>
              <w:rPr>
                <w:rFonts w:hint="eastAsia"/>
                <w:color w:val="000000"/>
                <w:szCs w:val="18"/>
              </w:rPr>
              <w:t>于</w:t>
            </w:r>
            <w:r>
              <w:rPr>
                <w:rFonts w:hint="eastAsia"/>
                <w:color w:val="000000"/>
                <w:szCs w:val="18"/>
                <w:u w:val="single"/>
              </w:rPr>
              <w:t xml:space="preserve"> </w:t>
            </w:r>
            <w:r>
              <w:rPr>
                <w:color w:val="000000"/>
                <w:szCs w:val="18"/>
                <w:u w:val="single"/>
              </w:rPr>
              <w:t>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11</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1-2</w:t>
            </w:r>
            <w:r>
              <w:rPr>
                <w:color w:val="000000"/>
                <w:szCs w:val="18"/>
                <w:u w:val="single"/>
              </w:rPr>
              <w:t xml:space="preserve"> </w:t>
            </w:r>
            <w:r>
              <w:rPr>
                <w:rFonts w:hint="eastAsia"/>
                <w:color w:val="000000"/>
                <w:szCs w:val="18"/>
              </w:rPr>
              <w:t>日实施了</w:t>
            </w:r>
            <w:r>
              <w:rPr>
                <w:rFonts w:hint="eastAsia"/>
                <w:color w:val="000000"/>
                <w:szCs w:val="18"/>
                <w:lang w:val="en-US" w:eastAsia="zh-CN"/>
              </w:rPr>
              <w:t>FSMS</w:t>
            </w:r>
            <w:r>
              <w:rPr>
                <w:rFonts w:hint="eastAsia"/>
                <w:color w:val="000000"/>
                <w:szCs w:val="18"/>
              </w:rPr>
              <w:t>内部审核；</w:t>
            </w:r>
          </w:p>
          <w:p>
            <w:pPr>
              <w:widowControl/>
              <w:shd w:val="clear"/>
              <w:spacing w:before="40"/>
              <w:jc w:val="left"/>
              <w:rPr>
                <w:color w:val="000000"/>
                <w:szCs w:val="18"/>
              </w:rPr>
            </w:pPr>
            <w:r>
              <w:rPr>
                <w:rFonts w:hint="eastAsia"/>
                <w:color w:val="000000"/>
                <w:szCs w:val="18"/>
              </w:rPr>
              <w:t>记录包括：</w:t>
            </w:r>
          </w:p>
          <w:p>
            <w:pPr>
              <w:widowControl/>
              <w:shd w:val="clear"/>
              <w:spacing w:before="40"/>
              <w:jc w:val="left"/>
              <w:rPr>
                <w:color w:val="000000"/>
                <w:szCs w:val="18"/>
              </w:rPr>
            </w:pPr>
            <w:r>
              <w:rPr>
                <w:rFonts w:hint="eastAsia"/>
                <w:color w:val="000000"/>
                <w:szCs w:val="18"/>
              </w:rPr>
              <w:t>《内审计划》：有</w:t>
            </w:r>
            <w:r>
              <w:rPr>
                <w:rFonts w:hint="eastAsia"/>
                <w:color w:val="000000"/>
                <w:szCs w:val="18"/>
                <w:u w:val="single"/>
                <w:lang w:val="en-US" w:eastAsia="zh-CN"/>
              </w:rPr>
              <w:t xml:space="preserve">3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ascii="Segoe UI Symbol" w:hAnsi="Segoe UI Symbol" w:cs="Segoe UI Symbol"/>
              </w:rPr>
              <w:t>☑</w:t>
            </w:r>
            <w:r>
              <w:rPr>
                <w:rFonts w:hint="eastAsia"/>
                <w:color w:val="000000"/>
                <w:szCs w:val="21"/>
              </w:rPr>
              <w:t>有内审员培训记录</w:t>
            </w:r>
          </w:p>
          <w:p>
            <w:pPr>
              <w:widowControl/>
              <w:shd w:val="clear"/>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hd w:val="clear"/>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hd w:val="clear"/>
              <w:spacing w:before="40"/>
              <w:ind w:firstLine="420" w:firstLineChars="200"/>
              <w:jc w:val="left"/>
              <w:rPr>
                <w:color w:val="000000"/>
                <w:szCs w:val="18"/>
              </w:rPr>
            </w:pPr>
            <w:r>
              <w:rPr>
                <w:rFonts w:hint="eastAsia"/>
                <w:color w:val="000000"/>
                <w:szCs w:val="21"/>
              </w:rPr>
              <w:sym w:font="Wingdings 2" w:char="0052"/>
            </w:r>
            <w:r>
              <w:rPr>
                <w:rFonts w:hint="eastAsia"/>
                <w:color w:val="000000"/>
                <w:szCs w:val="21"/>
              </w:rPr>
              <w:t>覆盖了全部过程和条款</w:t>
            </w:r>
            <w:r>
              <w:rPr>
                <w:rFonts w:hint="eastAsia"/>
                <w:color w:val="000000"/>
                <w:szCs w:val="21"/>
                <w:lang w:eastAsia="zh-CN"/>
              </w:rPr>
              <w:t>，</w:t>
            </w: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lang w:val="en-US" w:eastAsia="zh-CN"/>
              </w:rPr>
              <w:t xml:space="preserve"> ：但FSMS体系内审计划各部门审核条款安排不合理，已现场沟通；  </w:t>
            </w:r>
            <w:r>
              <w:rPr>
                <w:rFonts w:hint="eastAsia"/>
                <w:color w:val="000000"/>
                <w:szCs w:val="21"/>
              </w:rPr>
              <w:t xml:space="preserve"> </w:t>
            </w:r>
          </w:p>
          <w:p>
            <w:pPr>
              <w:widowControl/>
              <w:shd w:val="clear"/>
              <w:spacing w:before="40"/>
              <w:jc w:val="left"/>
              <w:rPr>
                <w:color w:val="000000"/>
                <w:szCs w:val="18"/>
              </w:rPr>
            </w:pPr>
            <w:r>
              <w:rPr>
                <w:rFonts w:hint="eastAsia"/>
                <w:color w:val="000000"/>
                <w:szCs w:val="18"/>
              </w:rPr>
              <w:t>《内审检查表》：</w:t>
            </w:r>
            <w:r>
              <w:rPr>
                <w:rFonts w:hint="eastAsia" w:ascii="Calibri" w:hAnsi="Calibri"/>
                <w:lang w:eastAsia="zh-CN"/>
              </w:rPr>
              <w:sym w:font="Wingdings 2" w:char="0052"/>
            </w:r>
            <w:r>
              <w:rPr>
                <w:rFonts w:hint="eastAsia"/>
                <w:color w:val="000000"/>
                <w:szCs w:val="18"/>
              </w:rPr>
              <w:t xml:space="preserve">与内审计划一致 </w:t>
            </w:r>
            <w:r>
              <w:rPr>
                <w:rFonts w:hint="eastAsia"/>
                <w:color w:val="000000"/>
                <w:szCs w:val="21"/>
              </w:rPr>
              <w:sym w:font="Wingdings 2" w:char="00A3"/>
            </w:r>
            <w:r>
              <w:rPr>
                <w:rFonts w:hint="eastAsia"/>
                <w:color w:val="000000"/>
                <w:szCs w:val="21"/>
              </w:rPr>
              <w:t>与内审计划不一致</w:t>
            </w:r>
            <w:r>
              <w:rPr>
                <w:rFonts w:hint="eastAsia"/>
                <w:strike w:val="0"/>
                <w:dstrike w:val="0"/>
                <w:color w:val="000000"/>
                <w:szCs w:val="21"/>
              </w:rPr>
              <w:t>缺少</w:t>
            </w:r>
            <w:r>
              <w:rPr>
                <w:rFonts w:hint="eastAsia"/>
                <w:strike w:val="0"/>
                <w:color w:val="000000"/>
                <w:szCs w:val="21"/>
                <w:u w:val="single"/>
              </w:rPr>
              <w:t xml:space="preserve"> </w:t>
            </w:r>
            <w:r>
              <w:rPr>
                <w:rFonts w:hint="eastAsia"/>
                <w:color w:val="000000"/>
                <w:szCs w:val="21"/>
                <w:u w:val="single"/>
              </w:rPr>
              <w:t xml:space="preserve">                              </w:t>
            </w:r>
          </w:p>
          <w:p>
            <w:pPr>
              <w:widowControl/>
              <w:shd w:val="clear"/>
              <w:spacing w:before="40"/>
              <w:jc w:val="left"/>
              <w:rPr>
                <w:color w:val="000000"/>
                <w:szCs w:val="18"/>
                <w:u w:val="single"/>
              </w:rPr>
            </w:pPr>
            <w:r>
              <w:rPr>
                <w:rFonts w:hint="eastAsia"/>
                <w:color w:val="000000"/>
                <w:szCs w:val="18"/>
              </w:rPr>
              <w:t>抽查的部门：如：</w:t>
            </w:r>
            <w:r>
              <w:rPr>
                <w:rFonts w:hint="eastAsia" w:asciiTheme="minorEastAsia" w:hAnsiTheme="minorEastAsia" w:eastAsiaTheme="minorEastAsia"/>
                <w:color w:val="000000"/>
                <w:szCs w:val="21"/>
                <w:u w:val="single"/>
              </w:rPr>
              <w:t>管理层</w:t>
            </w:r>
            <w:r>
              <w:rPr>
                <w:rFonts w:hint="eastAsia" w:asciiTheme="minorEastAsia" w:hAnsiTheme="minorEastAsia" w:eastAsiaTheme="minorEastAsia"/>
                <w:color w:val="000000"/>
                <w:szCs w:val="21"/>
                <w:u w:val="single"/>
                <w:lang w:val="en-US" w:eastAsia="zh-CN"/>
              </w:rPr>
              <w:t xml:space="preserve">/食品安全小组、                    </w:t>
            </w:r>
            <w:r>
              <w:rPr>
                <w:rFonts w:hint="eastAsia"/>
                <w:color w:val="000000"/>
                <w:szCs w:val="18"/>
                <w:u w:val="single"/>
              </w:rPr>
              <w:t xml:space="preserve"> </w:t>
            </w:r>
          </w:p>
          <w:p>
            <w:pPr>
              <w:widowControl/>
              <w:shd w:val="clear"/>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hd w:val="clear"/>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hd w:val="clear"/>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hd w:val="clear"/>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hd w:val="clear"/>
              <w:spacing w:before="40"/>
              <w:jc w:val="left"/>
              <w:rPr>
                <w:color w:val="000000"/>
                <w:szCs w:val="18"/>
              </w:rPr>
            </w:pPr>
            <w:r>
              <w:rPr>
                <w:rFonts w:hint="eastAsia"/>
                <w:color w:val="000000"/>
                <w:szCs w:val="18"/>
                <w:lang w:val="en-US" w:eastAsia="zh-CN"/>
              </w:rPr>
              <w:t>QMS</w:t>
            </w: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shd w:val="clear"/>
              <w:spacing w:line="360" w:lineRule="auto"/>
              <w:jc w:val="left"/>
              <w:rPr>
                <w:rFonts w:hint="default"/>
                <w:color w:val="000000"/>
                <w:szCs w:val="21"/>
                <w:highlight w:val="yellow"/>
                <w:u w:val="single"/>
                <w:lang w:val="en-US" w:eastAsia="zh-CN"/>
              </w:rPr>
            </w:pPr>
            <w:r>
              <w:rPr>
                <w:rFonts w:hint="eastAsia"/>
                <w:color w:val="000000"/>
                <w:szCs w:val="18"/>
              </w:rPr>
              <w:t>涉及的条款号或问题简述：</w:t>
            </w:r>
            <w:r>
              <w:rPr>
                <w:rFonts w:hint="eastAsia"/>
                <w:color w:val="000000"/>
                <w:szCs w:val="21"/>
                <w:highlight w:val="none"/>
                <w:u w:val="single"/>
              </w:rPr>
              <w:t xml:space="preserve"> </w:t>
            </w:r>
            <w:r>
              <w:rPr>
                <w:rFonts w:hint="eastAsia"/>
                <w:color w:val="000000"/>
                <w:szCs w:val="21"/>
                <w:highlight w:val="none"/>
                <w:u w:val="single"/>
                <w:lang w:val="en-US" w:eastAsia="zh-CN"/>
              </w:rPr>
              <w:t>1）</w:t>
            </w:r>
            <w:r>
              <w:rPr>
                <w:rFonts w:hint="eastAsia"/>
                <w:color w:val="000000"/>
                <w:szCs w:val="21"/>
                <w:highlight w:val="none"/>
                <w:u w:val="single"/>
              </w:rPr>
              <w:t xml:space="preserve"> 现场提供的培训记录中，未对新进员工进行有效的培训</w:t>
            </w:r>
            <w:r>
              <w:rPr>
                <w:rFonts w:hint="eastAsia"/>
                <w:color w:val="000000"/>
                <w:szCs w:val="21"/>
                <w:highlight w:val="none"/>
                <w:u w:val="single"/>
                <w:lang w:eastAsia="zh-CN"/>
              </w:rPr>
              <w:t>，</w:t>
            </w:r>
            <w:r>
              <w:rPr>
                <w:rFonts w:hint="eastAsia"/>
                <w:color w:val="000000"/>
                <w:szCs w:val="21"/>
                <w:highlight w:val="none"/>
                <w:u w:val="single"/>
                <w:lang w:val="en-US" w:eastAsia="zh-CN"/>
              </w:rPr>
              <w:t>不符合GB/T19001-2016标准的7.2 条款；</w:t>
            </w:r>
          </w:p>
          <w:p>
            <w:pPr>
              <w:widowControl/>
              <w:shd w:val="clear"/>
              <w:spacing w:before="40"/>
              <w:jc w:val="left"/>
              <w:rPr>
                <w:color w:val="000000"/>
                <w:szCs w:val="18"/>
              </w:rPr>
            </w:pPr>
            <w:r>
              <w:rPr>
                <w:rFonts w:hint="eastAsia"/>
                <w:color w:val="000000"/>
                <w:szCs w:val="18"/>
                <w:lang w:val="en-US" w:eastAsia="zh-CN"/>
              </w:rPr>
              <w:t>FSMS</w:t>
            </w: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shd w:val="clear"/>
              <w:spacing w:line="360" w:lineRule="auto"/>
              <w:jc w:val="left"/>
              <w:rPr>
                <w:rFonts w:hint="default"/>
                <w:color w:val="000000"/>
                <w:szCs w:val="21"/>
                <w:u w:val="single"/>
                <w:lang w:val="en-US" w:eastAsia="zh-CN"/>
              </w:rPr>
            </w:pPr>
            <w:r>
              <w:rPr>
                <w:rFonts w:hint="eastAsia"/>
                <w:color w:val="000000"/>
                <w:szCs w:val="18"/>
              </w:rPr>
              <w:t>涉及的条款号或问题简述：</w:t>
            </w:r>
            <w:r>
              <w:rPr>
                <w:rFonts w:hint="eastAsia"/>
                <w:color w:val="000000"/>
                <w:szCs w:val="21"/>
                <w:highlight w:val="none"/>
                <w:u w:val="single"/>
              </w:rPr>
              <w:t xml:space="preserve"> </w:t>
            </w:r>
            <w:r>
              <w:rPr>
                <w:rFonts w:hint="eastAsia"/>
                <w:color w:val="000000"/>
                <w:szCs w:val="21"/>
                <w:highlight w:val="none"/>
                <w:u w:val="single"/>
                <w:lang w:val="en-US" w:eastAsia="zh-CN"/>
              </w:rPr>
              <w:t>1）查设备检修记录时，未能提供检修记录的证据；不符合ISO22000:2018标准中  7.1.3 条款，提供有设备检修记录，但未提供检修记录档案，已现场沟通。</w:t>
            </w:r>
          </w:p>
          <w:p>
            <w:pPr>
              <w:widowControl/>
              <w:shd w:val="clear"/>
              <w:spacing w:before="40"/>
              <w:ind w:firstLine="420" w:firstLineChars="200"/>
              <w:jc w:val="left"/>
              <w:rPr>
                <w:highlight w:val="none"/>
              </w:rPr>
            </w:pPr>
            <w:r>
              <w:rPr>
                <w:rFonts w:hint="eastAsia" w:ascii="Calibri" w:hAnsi="Calibri"/>
                <w:highlight w:val="none"/>
                <w:lang w:eastAsia="zh-CN"/>
              </w:rPr>
              <w:sym w:font="Wingdings 2" w:char="0052"/>
            </w:r>
            <w:r>
              <w:rPr>
                <w:rFonts w:hint="eastAsia"/>
                <w:highlight w:val="none"/>
              </w:rPr>
              <w:t xml:space="preserve">不符合项已关闭  </w:t>
            </w:r>
            <w:r>
              <w:rPr>
                <w:rFonts w:hint="eastAsia"/>
                <w:highlight w:val="none"/>
              </w:rPr>
              <w:sym w:font="Wingdings" w:char="00A8"/>
            </w:r>
            <w:r>
              <w:rPr>
                <w:rFonts w:hint="eastAsia"/>
                <w:highlight w:val="none"/>
              </w:rPr>
              <w:t xml:space="preserve">不符合项部分关闭   </w:t>
            </w:r>
          </w:p>
          <w:p>
            <w:pPr>
              <w:widowControl/>
              <w:shd w:val="clear"/>
              <w:spacing w:before="40"/>
              <w:ind w:firstLine="420" w:firstLineChars="200"/>
              <w:jc w:val="left"/>
              <w:rPr>
                <w:highlight w:val="none"/>
              </w:rPr>
            </w:pPr>
            <w:r>
              <w:rPr>
                <w:rFonts w:hint="eastAsia"/>
                <w:highlight w:val="none"/>
              </w:rPr>
              <w:sym w:font="Wingdings" w:char="00A8"/>
            </w:r>
            <w:r>
              <w:rPr>
                <w:rFonts w:hint="eastAsia"/>
                <w:highlight w:val="none"/>
              </w:rPr>
              <w:t>不符合项未关闭</w:t>
            </w:r>
            <w:r>
              <w:rPr>
                <w:rFonts w:hint="eastAsia"/>
                <w:color w:val="000000"/>
                <w:szCs w:val="21"/>
                <w:highlight w:val="none"/>
              </w:rPr>
              <w:t>，缺少</w:t>
            </w:r>
            <w:r>
              <w:rPr>
                <w:rFonts w:hint="eastAsia"/>
                <w:color w:val="000000"/>
                <w:szCs w:val="21"/>
                <w:highlight w:val="none"/>
                <w:u w:val="single"/>
              </w:rPr>
              <w:t xml:space="preserve">                            </w:t>
            </w:r>
          </w:p>
          <w:p>
            <w:pPr>
              <w:widowControl/>
              <w:shd w:val="clear"/>
              <w:spacing w:before="40"/>
              <w:jc w:val="left"/>
              <w:rPr>
                <w:rFonts w:hint="eastAsia"/>
                <w:color w:val="000000"/>
                <w:szCs w:val="21"/>
              </w:rPr>
            </w:pPr>
          </w:p>
          <w:p>
            <w:pPr>
              <w:widowControl/>
              <w:shd w:val="clear"/>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hd w:val="clear"/>
              <w:spacing w:before="40"/>
              <w:jc w:val="left"/>
            </w:pPr>
            <w:r>
              <w:rPr>
                <w:rFonts w:hint="eastAsia" w:ascii="Calibri" w:hAnsi="Calibri"/>
                <w:lang w:eastAsia="zh-CN"/>
              </w:rPr>
              <w:t>□</w:t>
            </w:r>
            <w:r>
              <w:rPr>
                <w:rFonts w:hint="eastAsia"/>
              </w:rPr>
              <w:t xml:space="preserve">体系运行有效  </w:t>
            </w:r>
            <w:r>
              <w:rPr>
                <w:rFonts w:hint="eastAsia"/>
              </w:rPr>
              <w:sym w:font="Wingdings" w:char="00FE"/>
            </w:r>
            <w:r>
              <w:rPr>
                <w:rFonts w:hint="eastAsia"/>
              </w:rPr>
              <w:t xml:space="preserve">体系运行基本有效   </w:t>
            </w:r>
          </w:p>
          <w:p>
            <w:pPr>
              <w:widowControl/>
              <w:shd w:val="clear"/>
              <w:spacing w:before="40"/>
              <w:jc w:val="left"/>
              <w:rPr>
                <w:rFonts w:hint="eastAsia"/>
                <w:color w:val="000000"/>
                <w:szCs w:val="21"/>
                <w:u w:val="single"/>
              </w:rPr>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pStyle w:val="3"/>
              <w:shd w:val="clear"/>
            </w:pPr>
          </w:p>
          <w:p>
            <w:pPr>
              <w:widowControl/>
              <w:shd w:val="clear"/>
              <w:spacing w:before="40"/>
              <w:jc w:val="left"/>
              <w:rPr>
                <w:shd w:val="pct10" w:color="auto" w:fill="FFFFFF"/>
              </w:rPr>
            </w:pPr>
            <w:r>
              <w:rPr>
                <w:rFonts w:hint="eastAsia"/>
                <w:shd w:val="pct10" w:color="auto" w:fill="FFFFFF"/>
              </w:rPr>
              <w:t>本次现场审核时，上述不符合项的纠正措施的有效性</w:t>
            </w:r>
          </w:p>
          <w:p>
            <w:pPr>
              <w:shd w:val="clear"/>
            </w:pPr>
            <w:r>
              <w:rPr>
                <w:rFonts w:hint="eastAsia" w:ascii="Calibri" w:hAnsi="Calibri"/>
              </w:rPr>
              <w:t>☑</w:t>
            </w:r>
            <w:r>
              <w:rPr>
                <w:rFonts w:hint="eastAsia"/>
                <w:shd w:val="pct10" w:color="auto" w:fill="FFFFFF"/>
              </w:rPr>
              <w:t xml:space="preserve">不符合项未发生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518" w:type="dxa"/>
            <w:vMerge w:val="restart"/>
            <w:shd w:val="clear" w:color="auto" w:fill="auto"/>
          </w:tcPr>
          <w:p>
            <w:pPr>
              <w:shd w:val="clear"/>
            </w:pPr>
            <w:r>
              <w:rPr>
                <w:rFonts w:hint="eastAsia"/>
              </w:rPr>
              <w:t>管理评审</w:t>
            </w:r>
          </w:p>
        </w:tc>
        <w:tc>
          <w:tcPr>
            <w:tcW w:w="1055" w:type="dxa"/>
            <w:vMerge w:val="restart"/>
            <w:shd w:val="clear" w:color="auto" w:fill="auto"/>
          </w:tcPr>
          <w:p>
            <w:pPr>
              <w:shd w:val="clear"/>
            </w:pPr>
            <w:r>
              <w:rPr>
                <w:rFonts w:hint="eastAsia"/>
              </w:rPr>
              <w:t>Q9.3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bookmarkStart w:id="1" w:name="_Hlk55987447"/>
            <w:r>
              <w:rPr>
                <w:rFonts w:hint="eastAsia" w:ascii="宋体" w:hAnsi="宋体"/>
                <w:lang w:val="en-US" w:eastAsia="zh-CN"/>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《管理评审控制程序》</w:t>
            </w:r>
            <w:bookmarkEnd w:id="1"/>
          </w:p>
        </w:tc>
        <w:tc>
          <w:tcPr>
            <w:tcW w:w="1585" w:type="dxa"/>
            <w:vMerge w:val="restart"/>
            <w:shd w:val="clear" w:color="auto" w:fill="auto"/>
          </w:tcPr>
          <w:p>
            <w:pPr>
              <w:shd w:val="clear"/>
            </w:pPr>
            <w:r>
              <w:rPr/>
              <w:sym w:font="Wingdings" w:char="00FE"/>
            </w:r>
            <w:r>
              <w:rPr>
                <w:rFonts w:hint="eastAsia"/>
              </w:rPr>
              <w:t>符合</w:t>
            </w:r>
          </w:p>
          <w:p>
            <w:pPr>
              <w:shd w:val="clear"/>
              <w:rPr>
                <w:rFonts w:hint="eastAsia"/>
              </w:rPr>
            </w:pPr>
            <w:r>
              <w:rPr/>
              <w:sym w:font="Wingdings" w:char="00A8"/>
            </w:r>
            <w:r>
              <w:rPr>
                <w:rFonts w:hint="eastAsia"/>
              </w:rPr>
              <w:t>不符合</w:t>
            </w: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8"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widowControl/>
              <w:shd w:val="clear"/>
              <w:spacing w:before="40"/>
              <w:jc w:val="left"/>
              <w:rPr>
                <w:color w:val="000000"/>
                <w:szCs w:val="18"/>
              </w:rPr>
            </w:pPr>
          </w:p>
          <w:p>
            <w:pPr>
              <w:shd w:val="clear"/>
            </w:pPr>
            <w:r>
              <w:rPr>
                <w:rFonts w:hint="eastAsia"/>
              </w:rPr>
              <w:t>运行证据</w:t>
            </w:r>
          </w:p>
        </w:tc>
        <w:tc>
          <w:tcPr>
            <w:tcW w:w="9373" w:type="dxa"/>
            <w:shd w:val="clear" w:color="auto" w:fill="auto"/>
          </w:tcPr>
          <w:p>
            <w:pPr>
              <w:widowControl/>
              <w:shd w:val="clear"/>
              <w:spacing w:before="40"/>
              <w:jc w:val="left"/>
              <w:rPr>
                <w:color w:val="000000"/>
                <w:szCs w:val="18"/>
              </w:rPr>
            </w:pPr>
            <w:r>
              <w:rPr>
                <w:rFonts w:hint="eastAsia"/>
                <w:color w:val="000000"/>
                <w:szCs w:val="18"/>
              </w:rPr>
              <w:t>自</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w:t>
            </w:r>
            <w:r>
              <w:rPr>
                <w:color w:val="000000"/>
                <w:szCs w:val="18"/>
                <w:u w:val="single"/>
              </w:rPr>
              <w:t xml:space="preserve"> </w:t>
            </w:r>
            <w:r>
              <w:rPr>
                <w:rFonts w:hint="eastAsia"/>
                <w:color w:val="000000"/>
                <w:szCs w:val="18"/>
              </w:rPr>
              <w:t>日实施了管理评审；</w:t>
            </w:r>
          </w:p>
          <w:p>
            <w:pPr>
              <w:widowControl/>
              <w:shd w:val="clear"/>
              <w:spacing w:before="40"/>
              <w:jc w:val="left"/>
              <w:rPr>
                <w:color w:val="auto"/>
                <w:szCs w:val="21"/>
                <w:highlight w:val="none"/>
              </w:rPr>
            </w:pPr>
            <w:r>
              <w:rPr>
                <w:rFonts w:hint="eastAsia"/>
                <w:color w:val="000000"/>
                <w:szCs w:val="18"/>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管理评审计划  </w:t>
            </w:r>
            <w:r>
              <w:rPr/>
              <w:sym w:font="Wingdings" w:char="00FE"/>
            </w:r>
            <w:r>
              <w:rPr>
                <w:rFonts w:hint="eastAsia"/>
                <w:color w:val="000000"/>
                <w:szCs w:val="21"/>
              </w:rPr>
              <w:t>管理评审记录（工作总结）</w:t>
            </w:r>
            <w:r>
              <w:rPr>
                <w:rFonts w:hint="eastAsia"/>
                <w:color w:val="000000"/>
                <w:szCs w:val="21"/>
                <w:lang w:eastAsia="zh-CN"/>
              </w:rPr>
              <w:t>【</w:t>
            </w:r>
            <w:r>
              <w:rPr>
                <w:rFonts w:hint="eastAsia"/>
                <w:color w:val="000000"/>
                <w:szCs w:val="21"/>
                <w:lang w:val="en-US" w:eastAsia="zh-CN"/>
              </w:rPr>
              <w:t>各部门总结的内容不充分，已现场沟通</w:t>
            </w:r>
            <w:r>
              <w:rPr>
                <w:rFonts w:hint="eastAsia"/>
                <w:color w:val="000000"/>
                <w:szCs w:val="21"/>
                <w:lang w:eastAsia="zh-CN"/>
              </w:rPr>
              <w:t>】</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管理评审纪要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管理评审报告</w:t>
            </w:r>
            <w:r>
              <w:rPr>
                <w:rFonts w:hint="eastAsia"/>
                <w:color w:val="000000"/>
                <w:szCs w:val="21"/>
                <w:lang w:eastAsia="zh-CN"/>
              </w:rPr>
              <w:t>，</w:t>
            </w:r>
            <w:r>
              <w:rPr>
                <w:rFonts w:hint="eastAsia"/>
                <w:color w:val="auto"/>
                <w:szCs w:val="21"/>
                <w:highlight w:val="none"/>
                <w:u w:val="single"/>
                <w:lang w:val="en-US" w:eastAsia="zh-CN"/>
              </w:rPr>
              <w:t>提供有管理评审报告，但管理评审报告中内审不符合项描述与实际内审开具的不符合项内容不完全一致，已现场沟通。</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color w:val="000000"/>
                      <w:szCs w:val="21"/>
                    </w:rPr>
                    <w:t>管理评审输入信息</w:t>
                  </w:r>
                </w:p>
              </w:tc>
              <w:tc>
                <w:tcPr>
                  <w:tcW w:w="1990" w:type="dxa"/>
                </w:tcPr>
                <w:p>
                  <w:pPr>
                    <w:widowControl/>
                    <w:shd w:val="clear"/>
                    <w:spacing w:before="40"/>
                    <w:jc w:val="left"/>
                    <w:rPr>
                      <w:color w:val="000000"/>
                      <w:szCs w:val="21"/>
                    </w:rPr>
                  </w:pPr>
                  <w:r>
                    <w:rPr>
                      <w:rFonts w:hint="eastAsia"/>
                      <w:color w:val="000000"/>
                      <w:szCs w:val="21"/>
                    </w:rPr>
                    <w:t>评价</w:t>
                  </w:r>
                </w:p>
              </w:tc>
              <w:tc>
                <w:tcPr>
                  <w:tcW w:w="2816" w:type="dxa"/>
                </w:tcPr>
                <w:p>
                  <w:pPr>
                    <w:widowControl/>
                    <w:shd w:val="clear"/>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以往管理评审所采取措施的情况；</w:t>
                  </w:r>
                </w:p>
              </w:tc>
              <w:tc>
                <w:tcPr>
                  <w:tcW w:w="1990" w:type="dxa"/>
                </w:tcPr>
                <w:p>
                  <w:pPr>
                    <w:widowControl/>
                    <w:shd w:val="clear"/>
                    <w:spacing w:before="40"/>
                    <w:jc w:val="left"/>
                    <w:rPr>
                      <w:color w:val="000000"/>
                      <w:szCs w:val="21"/>
                    </w:rPr>
                  </w:pPr>
                  <w:r>
                    <w:rPr>
                      <w:rFonts w:hint="eastAsia"/>
                      <w:color w:val="000000"/>
                      <w:szCs w:val="21"/>
                    </w:rPr>
                    <w:sym w:font="Wingdings 2" w:char="00A3"/>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未发生，首次管评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与质量管理体系相关的内外部因素的变化；</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52"/>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无重大变化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顾客满意和有关相关方的反馈及趋势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highlight w:val="none"/>
                    </w:rPr>
                  </w:pPr>
                  <w:r>
                    <w:rPr>
                      <w:rFonts w:hint="eastAsia"/>
                      <w:highlight w:val="none"/>
                    </w:rPr>
                    <w:t>质量目标的实现程度及趋势</w:t>
                  </w:r>
                </w:p>
              </w:tc>
              <w:tc>
                <w:tcPr>
                  <w:tcW w:w="1990" w:type="dxa"/>
                </w:tcPr>
                <w:p>
                  <w:pPr>
                    <w:widowControl/>
                    <w:shd w:val="clear"/>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2816" w:type="dxa"/>
                </w:tcPr>
                <w:p>
                  <w:pPr>
                    <w:widowControl/>
                    <w:shd w:val="clear"/>
                    <w:spacing w:before="40"/>
                    <w:jc w:val="left"/>
                    <w:rPr>
                      <w:rFonts w:hint="default" w:eastAsia="宋体"/>
                      <w:color w:val="000000"/>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过程绩效以及产品和服务的合格情况及趋势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不合格及纠正措施及趋势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监视和测量结果及趋势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内审、外部审核结果及趋势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外部供方的绩效及趋势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资源的充分性；</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充分，暂不需要增加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应对风险和机遇所采取措施的有效性</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52"/>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改进的机会</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见输出</w:t>
                  </w:r>
                </w:p>
              </w:tc>
            </w:tr>
          </w:tbl>
          <w:p>
            <w:pPr>
              <w:pStyle w:val="2"/>
              <w:rPr>
                <w:color w:val="000000"/>
                <w:szCs w:val="21"/>
                <w:highlight w:val="cyan"/>
              </w:rPr>
            </w:pPr>
          </w:p>
          <w:p>
            <w:pPr>
              <w:pStyle w:val="2"/>
              <w:rPr>
                <w:color w:val="000000"/>
                <w:szCs w:val="21"/>
                <w:highlight w:val="cyan"/>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rPr>
                  </w:pPr>
                  <w:r>
                    <w:rPr>
                      <w:rFonts w:hint="eastAsia"/>
                      <w:color w:val="000000"/>
                      <w:szCs w:val="18"/>
                    </w:rPr>
                    <w:t>管理评审输出信息</w:t>
                  </w:r>
                </w:p>
              </w:tc>
              <w:tc>
                <w:tcPr>
                  <w:tcW w:w="4620" w:type="dxa"/>
                </w:tcPr>
                <w:p>
                  <w:pPr>
                    <w:widowControl/>
                    <w:shd w:val="clear"/>
                    <w:spacing w:before="40"/>
                    <w:jc w:val="left"/>
                    <w:rPr>
                      <w:color w:val="000000"/>
                      <w:szCs w:val="21"/>
                    </w:rPr>
                  </w:pPr>
                  <w:r>
                    <w:rPr>
                      <w:rFonts w:hint="eastAsia"/>
                      <w:color w:val="000000"/>
                      <w:szCs w:val="21"/>
                    </w:rPr>
                    <w:t>措施描述（举例）</w:t>
                  </w:r>
                </w:p>
              </w:tc>
              <w:tc>
                <w:tcPr>
                  <w:tcW w:w="2496" w:type="dxa"/>
                </w:tcPr>
                <w:p>
                  <w:pPr>
                    <w:widowControl/>
                    <w:shd w:val="clear"/>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rPr>
                  </w:pPr>
                  <w:r>
                    <w:rPr>
                      <w:rFonts w:hint="eastAsia"/>
                    </w:rPr>
                    <w:t>改进的机会</w:t>
                  </w:r>
                </w:p>
              </w:tc>
              <w:tc>
                <w:tcPr>
                  <w:tcW w:w="4620" w:type="dxa"/>
                </w:tcPr>
                <w:p>
                  <w:pPr>
                    <w:widowControl/>
                    <w:shd w:val="clear"/>
                    <w:spacing w:before="40"/>
                    <w:jc w:val="left"/>
                    <w:rPr>
                      <w:rFonts w:hint="default" w:eastAsia="宋体"/>
                      <w:color w:val="000000"/>
                      <w:szCs w:val="21"/>
                      <w:lang w:val="en-US" w:eastAsia="zh-CN"/>
                    </w:rPr>
                  </w:pPr>
                  <w:r>
                    <w:rPr>
                      <w:rFonts w:hint="default" w:eastAsia="宋体"/>
                      <w:color w:val="000000"/>
                      <w:szCs w:val="21"/>
                      <w:lang w:val="en-US" w:eastAsia="zh-CN"/>
                    </w:rPr>
                    <w:t>对标准、手册、程序文件进一步组织学习</w:t>
                  </w:r>
                  <w:r>
                    <w:rPr>
                      <w:rFonts w:hint="eastAsia"/>
                      <w:color w:val="000000"/>
                      <w:szCs w:val="21"/>
                      <w:lang w:val="en-US" w:eastAsia="zh-CN"/>
                    </w:rPr>
                    <w:t>；</w:t>
                  </w:r>
                  <w:r>
                    <w:rPr>
                      <w:rFonts w:hint="default" w:eastAsia="宋体"/>
                      <w:color w:val="000000"/>
                      <w:szCs w:val="21"/>
                      <w:lang w:val="en-US" w:eastAsia="zh-CN"/>
                    </w:rPr>
                    <w:t>由综合部组织在今年11月底前完成</w:t>
                  </w:r>
                </w:p>
              </w:tc>
              <w:tc>
                <w:tcPr>
                  <w:tcW w:w="2496" w:type="dxa"/>
                </w:tcPr>
                <w:p>
                  <w:pPr>
                    <w:widowControl/>
                    <w:shd w:val="clear"/>
                    <w:spacing w:before="40"/>
                    <w:jc w:val="left"/>
                    <w:rPr>
                      <w:rFonts w:hint="default" w:eastAsia="宋体"/>
                      <w:color w:val="000000"/>
                      <w:szCs w:val="21"/>
                      <w:lang w:val="en-US" w:eastAsia="zh-CN"/>
                    </w:rPr>
                  </w:pPr>
                  <w:r>
                    <w:rPr>
                      <w:rFonts w:hint="eastAsia"/>
                      <w:color w:val="000000"/>
                      <w:szCs w:val="21"/>
                    </w:rPr>
                    <w:sym w:font="Wingdings 2" w:char="0052"/>
                  </w:r>
                  <w:r>
                    <w:rPr>
                      <w:rFonts w:hint="eastAsia"/>
                    </w:rPr>
                    <w:t>已落实</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rPr>
                  </w:pPr>
                  <w:r>
                    <w:rPr>
                      <w:rFonts w:hint="eastAsia"/>
                    </w:rPr>
                    <w:t>质量管理体系所需的变更</w:t>
                  </w:r>
                </w:p>
              </w:tc>
              <w:tc>
                <w:tcPr>
                  <w:tcW w:w="4620"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rPr>
                  </w:pPr>
                  <w:r>
                    <w:rPr>
                      <w:rFonts w:hint="eastAsia"/>
                    </w:rPr>
                    <w:t>资源需求</w:t>
                  </w:r>
                </w:p>
              </w:tc>
              <w:tc>
                <w:tcPr>
                  <w:tcW w:w="4620"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shd w:val="clear"/>
              <w:rPr>
                <w:rFonts w:hint="default"/>
                <w:highlight w:val="cyan"/>
                <w:lang w:val="en-US"/>
              </w:rPr>
            </w:pPr>
            <w:r>
              <w:rPr>
                <w:rFonts w:hint="eastAsia"/>
              </w:rPr>
              <w:sym w:font="Wingdings" w:char="00FE"/>
            </w:r>
            <w:r>
              <w:rPr>
                <w:rFonts w:hint="eastAsia"/>
              </w:rPr>
              <w:t>改进措施未落实的原因：</w:t>
            </w:r>
            <w:r>
              <w:rPr>
                <w:rFonts w:hint="eastAsia"/>
                <w:highlight w:val="none"/>
                <w:u w:val="single"/>
              </w:rPr>
              <w:t xml:space="preserve">  </w:t>
            </w:r>
            <w:r>
              <w:rPr>
                <w:rFonts w:hint="eastAsia"/>
                <w:highlight w:val="none"/>
                <w:u w:val="single"/>
                <w:lang w:val="en-US" w:eastAsia="zh-CN"/>
              </w:rPr>
              <w:t xml:space="preserve">已完成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518" w:type="dxa"/>
            <w:vMerge w:val="restart"/>
            <w:shd w:val="clear" w:color="auto" w:fill="auto"/>
          </w:tcPr>
          <w:p>
            <w:pPr>
              <w:shd w:val="clear"/>
            </w:pPr>
            <w:r>
              <w:rPr>
                <w:rFonts w:hint="eastAsia"/>
              </w:rPr>
              <w:t>管理评审</w:t>
            </w:r>
          </w:p>
        </w:tc>
        <w:tc>
          <w:tcPr>
            <w:tcW w:w="1055" w:type="dxa"/>
            <w:vMerge w:val="restart"/>
            <w:shd w:val="clear" w:color="auto" w:fill="auto"/>
          </w:tcPr>
          <w:p>
            <w:pPr>
              <w:shd w:val="clear"/>
            </w:pPr>
            <w:r>
              <w:rPr>
                <w:rFonts w:hint="eastAsia"/>
              </w:rPr>
              <w:t>F9.3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ascii="宋体" w:hAnsi="宋体"/>
                <w:lang w:val="en-US" w:eastAsia="zh-CN"/>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《管理评审控制程序》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widowControl/>
              <w:shd w:val="clear"/>
              <w:spacing w:before="40"/>
              <w:jc w:val="left"/>
              <w:rPr>
                <w:color w:val="000000"/>
                <w:szCs w:val="18"/>
              </w:rPr>
            </w:pPr>
          </w:p>
          <w:p>
            <w:pPr>
              <w:shd w:val="clear"/>
            </w:pPr>
            <w:r>
              <w:rPr>
                <w:rFonts w:hint="eastAsia"/>
              </w:rPr>
              <w:t>运行证据</w:t>
            </w:r>
          </w:p>
        </w:tc>
        <w:tc>
          <w:tcPr>
            <w:tcW w:w="9373" w:type="dxa"/>
            <w:shd w:val="clear" w:color="auto" w:fill="auto"/>
          </w:tcPr>
          <w:p>
            <w:pPr>
              <w:widowControl/>
              <w:shd w:val="clear"/>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11</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20 </w:t>
            </w:r>
            <w:r>
              <w:rPr>
                <w:color w:val="000000"/>
                <w:szCs w:val="18"/>
                <w:u w:val="single"/>
              </w:rPr>
              <w:t xml:space="preserve"> </w:t>
            </w:r>
            <w:r>
              <w:rPr>
                <w:rFonts w:hint="eastAsia"/>
                <w:color w:val="000000"/>
                <w:szCs w:val="18"/>
              </w:rPr>
              <w:t>日实施了管理评审；</w:t>
            </w:r>
          </w:p>
          <w:p>
            <w:pPr>
              <w:widowControl/>
              <w:shd w:val="clear"/>
              <w:spacing w:before="40"/>
              <w:jc w:val="left"/>
              <w:rPr>
                <w:color w:val="000000"/>
                <w:szCs w:val="18"/>
              </w:rPr>
            </w:pPr>
            <w:r>
              <w:rPr>
                <w:rFonts w:hint="eastAsia"/>
                <w:color w:val="000000"/>
                <w:szCs w:val="18"/>
              </w:rPr>
              <w:t>查看</w:t>
            </w:r>
            <w:r>
              <w:rPr>
                <w:rFonts w:hint="eastAsia"/>
                <w:color w:val="000000"/>
                <w:szCs w:val="21"/>
              </w:rPr>
              <w:t>☑管理评审计划  ☑管理评审记录（工作总结）</w:t>
            </w:r>
            <w:r>
              <w:rPr>
                <w:rFonts w:hint="eastAsia"/>
                <w:color w:val="000000"/>
                <w:szCs w:val="21"/>
                <w:lang w:eastAsia="zh-CN"/>
              </w:rPr>
              <w:t>【</w:t>
            </w:r>
            <w:r>
              <w:rPr>
                <w:rFonts w:hint="eastAsia"/>
                <w:color w:val="000000"/>
                <w:szCs w:val="21"/>
                <w:lang w:val="en-US" w:eastAsia="zh-CN"/>
              </w:rPr>
              <w:t>输入信息未能够充分结合企业实际，建议后期改进</w:t>
            </w:r>
            <w:r>
              <w:rPr>
                <w:rFonts w:hint="eastAsia"/>
                <w:color w:val="000000"/>
                <w:szCs w:val="21"/>
                <w:lang w:eastAsia="zh-CN"/>
              </w:rPr>
              <w:t>】</w:t>
            </w:r>
            <w:r>
              <w:rPr>
                <w:rFonts w:hint="eastAsia"/>
                <w:color w:val="000000"/>
                <w:szCs w:val="21"/>
              </w:rPr>
              <w:t xml:space="preserve">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highlight w:val="none"/>
              </w:rPr>
              <w:t xml:space="preserve"> </w:t>
            </w:r>
            <w:r>
              <w:rPr>
                <w:rFonts w:hint="eastAsia"/>
                <w:color w:val="000000"/>
                <w:szCs w:val="21"/>
                <w:highlight w:val="none"/>
                <w:lang w:eastAsia="zh-CN"/>
              </w:rPr>
              <w:sym w:font="Wingdings 2" w:char="0052"/>
            </w:r>
            <w:r>
              <w:rPr>
                <w:rFonts w:hint="eastAsia"/>
                <w:color w:val="000000"/>
                <w:szCs w:val="21"/>
                <w:highlight w:val="none"/>
              </w:rPr>
              <w:t>管理评审报告</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199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管理评审输入信息</w:t>
                  </w:r>
                </w:p>
              </w:tc>
              <w:tc>
                <w:tcPr>
                  <w:tcW w:w="1991" w:type="dxa"/>
                </w:tcPr>
                <w:p>
                  <w:pPr>
                    <w:widowControl/>
                    <w:shd w:val="clear"/>
                    <w:spacing w:before="40"/>
                    <w:jc w:val="left"/>
                    <w:rPr>
                      <w:color w:val="000000"/>
                      <w:szCs w:val="21"/>
                    </w:rPr>
                  </w:pPr>
                  <w:r>
                    <w:rPr>
                      <w:rFonts w:hint="eastAsia"/>
                      <w:color w:val="000000"/>
                      <w:szCs w:val="21"/>
                    </w:rPr>
                    <w:t>评价</w:t>
                  </w:r>
                </w:p>
              </w:tc>
              <w:tc>
                <w:tcPr>
                  <w:tcW w:w="2783" w:type="dxa"/>
                </w:tcPr>
                <w:p>
                  <w:pPr>
                    <w:widowControl/>
                    <w:shd w:val="clear"/>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rPr>
                    <w:sym w:font="Wingdings" w:char="00A8"/>
                  </w:r>
                  <w:r>
                    <w:rPr>
                      <w:rFonts w:hint="eastAsia"/>
                    </w:rPr>
                    <w:t>以往管理评审所采取措施的情况；</w:t>
                  </w:r>
                </w:p>
              </w:tc>
              <w:tc>
                <w:tcPr>
                  <w:tcW w:w="1991" w:type="dxa"/>
                </w:tcPr>
                <w:p>
                  <w:pPr>
                    <w:widowControl/>
                    <w:shd w:val="clear"/>
                    <w:spacing w:before="40"/>
                    <w:jc w:val="left"/>
                    <w:rPr>
                      <w:color w:val="000000"/>
                      <w:szCs w:val="21"/>
                    </w:rPr>
                  </w:pPr>
                  <w:r>
                    <w:rPr>
                      <w:rFonts w:hint="eastAsia"/>
                      <w:color w:val="000000"/>
                      <w:szCs w:val="21"/>
                    </w:rPr>
                    <w:sym w:font="Wingdings 2" w:char="00A3"/>
                  </w:r>
                  <w:r>
                    <w:rPr>
                      <w:rFonts w:hint="eastAsia"/>
                      <w:color w:val="000000"/>
                      <w:szCs w:val="21"/>
                    </w:rPr>
                    <w:t>符合 □不符合</w:t>
                  </w:r>
                </w:p>
              </w:tc>
              <w:tc>
                <w:tcPr>
                  <w:tcW w:w="2783"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首次建立体系，不涉及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991" w:type="dxa"/>
                </w:tcPr>
                <w:p>
                  <w:pPr>
                    <w:widowControl/>
                    <w:shd w:val="clear"/>
                    <w:spacing w:before="40"/>
                    <w:jc w:val="left"/>
                    <w:rPr>
                      <w:color w:val="000000"/>
                      <w:szCs w:val="21"/>
                    </w:rPr>
                  </w:pPr>
                  <w:r>
                    <w:rPr>
                      <w:rFonts w:hint="eastAsia"/>
                      <w:color w:val="000000"/>
                      <w:szCs w:val="21"/>
                      <w:lang w:eastAsia="zh-CN"/>
                    </w:rPr>
                    <w:sym w:font="Wingdings 2" w:char="0052"/>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783"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无重大变化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发生的紧急情况、事故或撤回；</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rFonts w:hint="eastAsia"/>
                    </w:rPr>
                    <w:t>监视和测量结果及趋势</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审核结果（内部和外部）包括执法检查结果</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与PRP、OPRP计划和HACCP计划有关的验证活动结果的分析</w:t>
                  </w:r>
                </w:p>
              </w:tc>
              <w:tc>
                <w:tcPr>
                  <w:tcW w:w="1991" w:type="dxa"/>
                </w:tcPr>
                <w:p>
                  <w:pPr>
                    <w:widowControl/>
                    <w:shd w:val="clear"/>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783"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未做分析，已现场沟通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实现食品安全管理体系目标的程度</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外部供方绩效</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不需要更新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紧急情况、事故或撤回</w:t>
                  </w:r>
                  <w:r>
                    <w:rPr>
                      <w:rFonts w:hint="eastAsia"/>
                      <w:color w:val="000000"/>
                      <w:szCs w:val="21"/>
                    </w:rPr>
                    <w:t>的评审</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rFonts w:hint="eastAsia"/>
                    </w:rPr>
                    <w:t>资源的充分性</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为应对风险和机遇所采取措施的有效性</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p>
              </w:tc>
              <w:tc>
                <w:tcPr>
                  <w:tcW w:w="1991" w:type="dxa"/>
                </w:tcPr>
                <w:p>
                  <w:pPr>
                    <w:widowControl/>
                    <w:shd w:val="clear"/>
                    <w:spacing w:before="40"/>
                    <w:jc w:val="left"/>
                    <w:rPr>
                      <w:color w:val="000000"/>
                      <w:szCs w:val="21"/>
                    </w:rPr>
                  </w:pPr>
                </w:p>
              </w:tc>
              <w:tc>
                <w:tcPr>
                  <w:tcW w:w="2783"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p>
              </w:tc>
            </w:tr>
          </w:tbl>
          <w:p>
            <w:pPr>
              <w:widowControl/>
              <w:shd w:val="clear"/>
              <w:spacing w:before="40"/>
              <w:jc w:val="left"/>
              <w:rPr>
                <w:color w:val="000000"/>
                <w:szCs w:val="21"/>
              </w:rPr>
            </w:pPr>
          </w:p>
          <w:p>
            <w:pPr>
              <w:widowControl/>
              <w:shd w:val="clear"/>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r>
              <w:rPr>
                <w:rFonts w:hint="eastAsia"/>
                <w:u w:val="single"/>
                <w:lang w:val="en-US" w:eastAsia="zh-CN"/>
              </w:rPr>
              <w:t>但未明确存在的问题以及纠正措施，已现场沟通</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3076"/>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rPr>
                  </w:pPr>
                  <w:r>
                    <w:rPr>
                      <w:rFonts w:hint="eastAsia"/>
                      <w:color w:val="000000"/>
                      <w:szCs w:val="18"/>
                    </w:rPr>
                    <w:t>管理评审输出信息（决策）</w:t>
                  </w:r>
                </w:p>
              </w:tc>
              <w:tc>
                <w:tcPr>
                  <w:tcW w:w="3076" w:type="dxa"/>
                </w:tcPr>
                <w:p>
                  <w:pPr>
                    <w:widowControl/>
                    <w:shd w:val="clear"/>
                    <w:spacing w:before="40"/>
                    <w:jc w:val="left"/>
                    <w:rPr>
                      <w:color w:val="000000"/>
                      <w:szCs w:val="21"/>
                    </w:rPr>
                  </w:pPr>
                  <w:r>
                    <w:rPr>
                      <w:rFonts w:hint="eastAsia"/>
                      <w:color w:val="000000"/>
                      <w:szCs w:val="21"/>
                    </w:rPr>
                    <w:t>措施描述（举例）</w:t>
                  </w:r>
                </w:p>
              </w:tc>
              <w:tc>
                <w:tcPr>
                  <w:tcW w:w="2496" w:type="dxa"/>
                </w:tcPr>
                <w:p>
                  <w:pPr>
                    <w:widowControl/>
                    <w:shd w:val="clear"/>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rPr>
                  </w:pPr>
                  <w:r>
                    <w:rPr>
                      <w:rFonts w:hint="eastAsia"/>
                    </w:rPr>
                    <w:t>与持续改进机会相关的决策</w:t>
                  </w:r>
                </w:p>
              </w:tc>
              <w:tc>
                <w:tcPr>
                  <w:tcW w:w="3076"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w:t>
                  </w:r>
                </w:p>
              </w:tc>
              <w:tc>
                <w:tcPr>
                  <w:tcW w:w="2496"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rPr>
                    <w:sym w:font="Wingdings 2" w:char="00A3"/>
                  </w:r>
                  <w:r>
                    <w:rPr>
                      <w:rFonts w:hint="eastAsia"/>
                    </w:rPr>
                    <w:t>已落实</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rPr>
                  </w:pPr>
                  <w:r>
                    <w:rPr>
                      <w:rFonts w:hint="eastAsia"/>
                    </w:rPr>
                    <w:t>食品安全管理体系所需的变更</w:t>
                  </w:r>
                </w:p>
              </w:tc>
              <w:tc>
                <w:tcPr>
                  <w:tcW w:w="3076"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rPr>
                  </w:pPr>
                  <w:r>
                    <w:rPr>
                      <w:rFonts w:hint="eastAsia"/>
                    </w:rPr>
                    <w:t>资源需求</w:t>
                  </w:r>
                </w:p>
              </w:tc>
              <w:tc>
                <w:tcPr>
                  <w:tcW w:w="3076"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rPr>
                  </w:pPr>
                  <w:r>
                    <w:rPr>
                      <w:rFonts w:hint="eastAsia"/>
                      <w:color w:val="000000"/>
                      <w:szCs w:val="21"/>
                    </w:rPr>
                    <w:t>食品安全目标未实现所采取的措施。（需要时）</w:t>
                  </w:r>
                </w:p>
              </w:tc>
              <w:tc>
                <w:tcPr>
                  <w:tcW w:w="3076"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rPr>
                  </w:pPr>
                  <w:r>
                    <w:rPr>
                      <w:rFonts w:hint="eastAsia"/>
                      <w:color w:val="000000"/>
                      <w:szCs w:val="21"/>
                    </w:rPr>
                    <w:t>改进食品安全管理体系与其他业务过程融合的机会。（需要时）</w:t>
                  </w:r>
                </w:p>
              </w:tc>
              <w:tc>
                <w:tcPr>
                  <w:tcW w:w="3076"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rPr>
                  </w:pPr>
                  <w:r>
                    <w:rPr>
                      <w:rFonts w:hint="eastAsia"/>
                      <w:color w:val="000000"/>
                      <w:szCs w:val="21"/>
                    </w:rPr>
                    <w:t>任何与组织战略方向相关的结论</w:t>
                  </w:r>
                </w:p>
              </w:tc>
              <w:tc>
                <w:tcPr>
                  <w:tcW w:w="3076"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shd w:val="clear"/>
              <w:rPr>
                <w:highlight w:val="cyan"/>
              </w:rPr>
            </w:pPr>
          </w:p>
          <w:p>
            <w:pPr>
              <w:shd w:val="clear"/>
              <w:rPr>
                <w:u w:val="single"/>
              </w:rPr>
            </w:pPr>
            <w:r>
              <w:rPr>
                <w:rFonts w:hint="eastAsia"/>
              </w:rPr>
              <w:sym w:font="Wingdings" w:char="00A8"/>
            </w:r>
            <w:r>
              <w:rPr>
                <w:rFonts w:hint="eastAsia"/>
              </w:rPr>
              <w:t>改进措施未落实的原因：</w:t>
            </w:r>
            <w:r>
              <w:rPr>
                <w:rFonts w:hint="eastAsia"/>
                <w:u w:val="single"/>
              </w:rPr>
              <w:t xml:space="preserve">  </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18" w:type="dxa"/>
            <w:vMerge w:val="restart"/>
            <w:shd w:val="clear" w:color="auto" w:fill="auto"/>
          </w:tcPr>
          <w:p>
            <w:pPr>
              <w:shd w:val="clear"/>
            </w:pPr>
            <w:r>
              <w:rPr>
                <w:rFonts w:hint="eastAsia"/>
              </w:rPr>
              <w:t>改进</w:t>
            </w:r>
          </w:p>
        </w:tc>
        <w:tc>
          <w:tcPr>
            <w:tcW w:w="1055" w:type="dxa"/>
            <w:vMerge w:val="restart"/>
            <w:shd w:val="clear" w:color="auto" w:fill="auto"/>
          </w:tcPr>
          <w:p>
            <w:pPr>
              <w:shd w:val="clear"/>
            </w:pPr>
            <w:r>
              <w:rPr>
                <w:rFonts w:hint="eastAsia"/>
              </w:rPr>
              <w:t>Q10.1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hint="eastAsia"/>
              </w:rPr>
              <w:sym w:font="Wingdings" w:char="00FE"/>
            </w:r>
            <w:r>
              <w:rPr>
                <w:rFonts w:hint="eastAsia"/>
              </w:rPr>
              <w:t>管理手册10.1章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 xml:space="preserve">组织确定和选择了改进机会，并采取必要措施，以满足顾客要求和增强顾客满意。 </w:t>
            </w:r>
          </w:p>
          <w:p>
            <w:pPr>
              <w:shd w:val="clear"/>
            </w:pPr>
            <w:r>
              <w:rPr>
                <w:rFonts w:hint="eastAsia"/>
              </w:rPr>
              <w:t>这包括：</w:t>
            </w:r>
          </w:p>
          <w:p>
            <w:pPr>
              <w:shd w:val="clear"/>
            </w:pPr>
            <w:r>
              <w:rPr>
                <w:rFonts w:hint="eastAsia"/>
              </w:rPr>
              <w:sym w:font="Wingdings" w:char="00FE"/>
            </w:r>
            <w:r>
              <w:rPr>
                <w:rFonts w:hint="eastAsia"/>
              </w:rPr>
              <w:t xml:space="preserve">改进产品和服务，以满足要求并应对未来的需求和期望； </w:t>
            </w:r>
          </w:p>
          <w:p>
            <w:pPr>
              <w:shd w:val="clear"/>
            </w:pPr>
            <w:r>
              <w:rPr>
                <w:rFonts w:hint="eastAsia"/>
              </w:rPr>
              <w:sym w:font="Wingdings" w:char="00FE"/>
            </w:r>
            <w:r>
              <w:rPr>
                <w:rFonts w:hint="eastAsia"/>
              </w:rPr>
              <w:t xml:space="preserve">纠正、预防或减少不利影响； </w:t>
            </w:r>
          </w:p>
          <w:p>
            <w:pPr>
              <w:shd w:val="clear"/>
            </w:pPr>
            <w:r>
              <w:rPr>
                <w:rFonts w:hint="eastAsia"/>
              </w:rPr>
              <w:sym w:font="Wingdings" w:char="00FE"/>
            </w:r>
            <w:r>
              <w:rPr>
                <w:rFonts w:hint="eastAsia"/>
              </w:rPr>
              <w:t>改进质量管理体系的绩效和有效性。</w:t>
            </w:r>
          </w:p>
          <w:p>
            <w:pPr>
              <w:shd w:val="clear"/>
            </w:pPr>
          </w:p>
          <w:p>
            <w:pPr>
              <w:shd w:val="clear"/>
            </w:pPr>
            <w:r>
              <w:rPr>
                <w:rFonts w:hint="eastAsia"/>
              </w:rPr>
              <w:t>改进包括：</w:t>
            </w:r>
            <w:r>
              <w:rPr>
                <w:rFonts w:hint="eastAsia"/>
                <w:u w:val="none"/>
              </w:rPr>
              <w:sym w:font="Wingdings" w:char="00FE"/>
            </w:r>
            <w:r>
              <w:rPr>
                <w:rFonts w:hint="eastAsia"/>
                <w:u w:val="none"/>
              </w:rPr>
              <w:t>纠正、</w:t>
            </w:r>
            <w:r>
              <w:rPr>
                <w:rFonts w:hint="eastAsia"/>
                <w:u w:val="none"/>
              </w:rPr>
              <w:sym w:font="Wingdings" w:char="00FE"/>
            </w:r>
            <w:r>
              <w:rPr>
                <w:rFonts w:hint="eastAsia"/>
                <w:u w:val="none"/>
              </w:rPr>
              <w:t>纠正措施、</w:t>
            </w:r>
            <w:r>
              <w:rPr>
                <w:rFonts w:hint="eastAsia"/>
                <w:u w:val="none"/>
              </w:rPr>
              <w:sym w:font="Wingdings" w:char="00A8"/>
            </w:r>
            <w:r>
              <w:rPr>
                <w:rFonts w:hint="eastAsia"/>
                <w:u w:val="none"/>
              </w:rPr>
              <w:t>持续改进、</w:t>
            </w:r>
            <w:r>
              <w:rPr>
                <w:rFonts w:hint="eastAsia"/>
                <w:u w:val="none"/>
              </w:rPr>
              <w:sym w:font="Wingdings" w:char="00A8"/>
            </w:r>
            <w:r>
              <w:rPr>
                <w:rFonts w:hint="eastAsia"/>
                <w:u w:val="none"/>
              </w:rPr>
              <w:t>突破性变革、</w:t>
            </w:r>
            <w:r>
              <w:rPr>
                <w:rFonts w:hint="eastAsia"/>
                <w:u w:val="none"/>
              </w:rPr>
              <w:sym w:font="Wingdings" w:char="00A8"/>
            </w:r>
            <w:r>
              <w:rPr>
                <w:rFonts w:hint="eastAsia"/>
                <w:u w:val="none"/>
              </w:rPr>
              <w:t>创新和重组。</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18" w:type="dxa"/>
            <w:vMerge w:val="restart"/>
            <w:shd w:val="clear" w:color="auto" w:fill="auto"/>
          </w:tcPr>
          <w:p>
            <w:pPr>
              <w:shd w:val="clear"/>
            </w:pPr>
            <w:r>
              <w:rPr>
                <w:rFonts w:hint="eastAsia"/>
              </w:rPr>
              <w:t>不符合</w:t>
            </w:r>
            <w:r>
              <w:t>和</w:t>
            </w:r>
            <w:r>
              <w:rPr>
                <w:rFonts w:hint="eastAsia"/>
              </w:rPr>
              <w:t>纠</w:t>
            </w:r>
            <w:r>
              <w:t>正措施</w:t>
            </w:r>
          </w:p>
        </w:tc>
        <w:tc>
          <w:tcPr>
            <w:tcW w:w="1055" w:type="dxa"/>
            <w:vMerge w:val="restart"/>
            <w:shd w:val="clear" w:color="auto" w:fill="auto"/>
          </w:tcPr>
          <w:p>
            <w:pPr>
              <w:shd w:val="clear"/>
              <w:rPr>
                <w:rFonts w:hint="eastAsia"/>
                <w:lang w:val="en-US" w:eastAsia="zh-CN"/>
              </w:rPr>
            </w:pPr>
            <w:r>
              <w:rPr>
                <w:rFonts w:hint="eastAsia"/>
                <w:lang w:val="en-US" w:eastAsia="zh-CN"/>
              </w:rPr>
              <w:t>Q10.2</w:t>
            </w:r>
          </w:p>
          <w:p>
            <w:pPr>
              <w:shd w:val="clear"/>
              <w:rPr>
                <w:rFonts w:hint="eastAsia"/>
              </w:rPr>
            </w:pPr>
            <w:r>
              <w:rPr>
                <w:rFonts w:hint="eastAsia"/>
              </w:rPr>
              <w:t>F1</w:t>
            </w:r>
            <w:r>
              <w:t>0</w:t>
            </w:r>
            <w:r>
              <w:rPr>
                <w:rFonts w:hint="eastAsia"/>
              </w:rPr>
              <w:t>.1</w:t>
            </w:r>
          </w:p>
          <w:p>
            <w:pPr>
              <w:pStyle w:val="8"/>
              <w:shd w:val="clear"/>
              <w:rPr>
                <w:rFonts w:hint="eastAsia"/>
              </w:rPr>
            </w:pPr>
          </w:p>
          <w:p>
            <w:pPr>
              <w:pStyle w:val="8"/>
              <w:shd w:val="clear"/>
            </w:pPr>
          </w:p>
        </w:tc>
        <w:tc>
          <w:tcPr>
            <w:tcW w:w="893" w:type="dxa"/>
            <w:shd w:val="clear" w:color="auto" w:fill="auto"/>
          </w:tcPr>
          <w:p>
            <w:pPr>
              <w:shd w:val="clear"/>
            </w:pPr>
            <w:r>
              <w:rPr>
                <w:rFonts w:hint="eastAsia"/>
              </w:rPr>
              <w:t>文</w:t>
            </w:r>
            <w:r>
              <w:t>件名称</w:t>
            </w:r>
          </w:p>
        </w:tc>
        <w:tc>
          <w:tcPr>
            <w:tcW w:w="9373" w:type="dxa"/>
            <w:shd w:val="clear" w:color="auto" w:fill="auto"/>
          </w:tcPr>
          <w:p>
            <w:pPr>
              <w:shd w:val="clear"/>
            </w:pPr>
            <w:r>
              <w:rPr>
                <w:color w:val="000000"/>
              </w:rPr>
              <w:sym w:font="Wingdings" w:char="00FE"/>
            </w:r>
            <w:r>
              <w:t>管理</w:t>
            </w:r>
            <w:r>
              <w:rPr>
                <w:rFonts w:hint="eastAsia"/>
              </w:rPr>
              <w:t>手</w:t>
            </w:r>
            <w:r>
              <w:t>册</w:t>
            </w:r>
            <w:r>
              <w:rPr>
                <w:rFonts w:hint="eastAsia"/>
              </w:rPr>
              <w:t>第10.1章、</w:t>
            </w:r>
            <w:r>
              <w:rPr>
                <w:color w:val="000000"/>
              </w:rPr>
              <w:sym w:font="Wingdings" w:char="00FE"/>
            </w:r>
            <w:r>
              <w:rPr>
                <w:rFonts w:hint="eastAsia"/>
              </w:rPr>
              <w:t>《</w:t>
            </w:r>
            <w:r>
              <w:rPr>
                <w:rFonts w:hint="eastAsia"/>
                <w:lang w:val="en-US" w:eastAsia="zh-CN"/>
              </w:rPr>
              <w:t>不合格品控制程序</w:t>
            </w:r>
            <w:r>
              <w:rPr>
                <w:rFonts w:hint="eastAsia"/>
              </w:rPr>
              <w:t>》、</w:t>
            </w:r>
            <w:r>
              <w:rPr>
                <w:color w:val="000000"/>
              </w:rPr>
              <w:sym w:font="Wingdings" w:char="00FE"/>
            </w:r>
            <w:r>
              <w:rPr>
                <w:rFonts w:hint="eastAsia"/>
                <w:color w:val="000000"/>
              </w:rPr>
              <w:t>《纠正措施控制程序》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不符合的来源：</w:t>
            </w:r>
          </w:p>
          <w:p>
            <w:pPr>
              <w:shd w:val="clear"/>
            </w:pPr>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lang w:val="en-US" w:eastAsia="zh-CN"/>
              </w:rPr>
              <w:t>其他</w:t>
            </w:r>
            <w:r>
              <w:rPr>
                <w:rFonts w:hint="eastAsia"/>
              </w:rPr>
              <w:t xml:space="preserve"> </w:t>
            </w:r>
          </w:p>
          <w:p>
            <w:pPr>
              <w:shd w:val="clear"/>
            </w:pPr>
          </w:p>
          <w:p>
            <w:pPr>
              <w:shd w:val="clea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审核周期未发生</w:t>
            </w:r>
            <w:r>
              <w:rPr>
                <w:u w:val="single"/>
              </w:rPr>
              <w:t xml:space="preserve">   </w:t>
            </w:r>
            <w:r>
              <w:rPr>
                <w:rFonts w:hint="eastAsia"/>
                <w:u w:val="single"/>
                <w:lang w:eastAsia="zh-CN"/>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9"/>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ascii="宋体" w:hAnsi="宋体"/>
                      <w:szCs w:val="21"/>
                    </w:rPr>
                  </w:pPr>
                  <w:r>
                    <w:rPr>
                      <w:rFonts w:hint="eastAsia" w:ascii="宋体" w:hAnsi="宋体"/>
                      <w:szCs w:val="21"/>
                    </w:rPr>
                    <w:t>日期</w:t>
                  </w:r>
                </w:p>
              </w:tc>
              <w:tc>
                <w:tcPr>
                  <w:tcW w:w="2033" w:type="dxa"/>
                </w:tcPr>
                <w:p>
                  <w:pPr>
                    <w:shd w:val="clear"/>
                    <w:rPr>
                      <w:rFonts w:ascii="宋体" w:hAnsi="宋体"/>
                      <w:szCs w:val="21"/>
                    </w:rPr>
                  </w:pPr>
                  <w:r>
                    <w:rPr>
                      <w:rFonts w:hint="eastAsia" w:ascii="宋体" w:hAnsi="宋体"/>
                      <w:szCs w:val="21"/>
                    </w:rPr>
                    <w:t>不符合描述</w:t>
                  </w:r>
                </w:p>
              </w:tc>
              <w:tc>
                <w:tcPr>
                  <w:tcW w:w="1062" w:type="dxa"/>
                </w:tcPr>
                <w:p>
                  <w:pPr>
                    <w:shd w:val="clear"/>
                    <w:rPr>
                      <w:rFonts w:hint="default" w:ascii="宋体" w:hAnsi="宋体" w:eastAsia="宋体"/>
                      <w:szCs w:val="21"/>
                      <w:lang w:val="en-US" w:eastAsia="zh-CN"/>
                    </w:rPr>
                  </w:pPr>
                  <w:r>
                    <w:rPr>
                      <w:rFonts w:hint="eastAsia" w:ascii="宋体" w:hAnsi="宋体"/>
                      <w:szCs w:val="21"/>
                    </w:rPr>
                    <w:t>不符合纠正</w:t>
                  </w:r>
                </w:p>
              </w:tc>
              <w:tc>
                <w:tcPr>
                  <w:tcW w:w="1720" w:type="dxa"/>
                </w:tcPr>
                <w:p>
                  <w:pPr>
                    <w:shd w:val="clear"/>
                    <w:rPr>
                      <w:rFonts w:ascii="宋体" w:hAnsi="宋体"/>
                      <w:szCs w:val="21"/>
                    </w:rPr>
                  </w:pPr>
                  <w:r>
                    <w:rPr>
                      <w:rFonts w:hint="eastAsia" w:ascii="宋体" w:hAnsi="宋体"/>
                      <w:szCs w:val="21"/>
                    </w:rPr>
                    <w:t>原因分析</w:t>
                  </w:r>
                </w:p>
              </w:tc>
              <w:tc>
                <w:tcPr>
                  <w:tcW w:w="2463" w:type="dxa"/>
                </w:tcPr>
                <w:p>
                  <w:pPr>
                    <w:shd w:val="clear"/>
                    <w:rPr>
                      <w:rFonts w:ascii="宋体" w:hAnsi="宋体"/>
                      <w:szCs w:val="21"/>
                    </w:rPr>
                  </w:pPr>
                  <w:r>
                    <w:rPr>
                      <w:rFonts w:hint="eastAsia" w:ascii="宋体" w:hAnsi="宋体"/>
                      <w:szCs w:val="21"/>
                    </w:rPr>
                    <w:t>纠正措施</w:t>
                  </w:r>
                </w:p>
              </w:tc>
              <w:tc>
                <w:tcPr>
                  <w:tcW w:w="968" w:type="dxa"/>
                </w:tcPr>
                <w:p>
                  <w:pPr>
                    <w:shd w:val="clea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ascii="宋体" w:hAnsi="宋体" w:eastAsia="宋体"/>
                      <w:szCs w:val="21"/>
                      <w:lang w:val="en-US" w:eastAsia="zh-CN"/>
                    </w:rPr>
                  </w:pPr>
                </w:p>
              </w:tc>
              <w:tc>
                <w:tcPr>
                  <w:tcW w:w="2033" w:type="dxa"/>
                </w:tcPr>
                <w:p>
                  <w:pPr>
                    <w:shd w:val="clear"/>
                    <w:autoSpaceDE w:val="0"/>
                    <w:autoSpaceDN w:val="0"/>
                    <w:adjustRightInd w:val="0"/>
                    <w:spacing w:line="0" w:lineRule="atLeast"/>
                    <w:ind w:right="-27"/>
                    <w:jc w:val="left"/>
                    <w:textAlignment w:val="baseline"/>
                    <w:rPr>
                      <w:rFonts w:ascii="宋体" w:hAnsi="宋体"/>
                      <w:szCs w:val="21"/>
                    </w:rPr>
                  </w:pPr>
                </w:p>
              </w:tc>
              <w:tc>
                <w:tcPr>
                  <w:tcW w:w="1062" w:type="dxa"/>
                </w:tcPr>
                <w:p>
                  <w:pPr>
                    <w:shd w:val="clear"/>
                    <w:autoSpaceDE w:val="0"/>
                    <w:autoSpaceDN w:val="0"/>
                    <w:adjustRightInd w:val="0"/>
                    <w:spacing w:line="0" w:lineRule="atLeast"/>
                    <w:ind w:right="-27"/>
                    <w:jc w:val="left"/>
                    <w:textAlignment w:val="baseline"/>
                    <w:rPr>
                      <w:rFonts w:ascii="宋体" w:hAnsi="宋体"/>
                      <w:szCs w:val="21"/>
                    </w:rPr>
                  </w:pPr>
                </w:p>
              </w:tc>
              <w:tc>
                <w:tcPr>
                  <w:tcW w:w="1720" w:type="dxa"/>
                </w:tcPr>
                <w:p>
                  <w:pPr>
                    <w:shd w:val="clear"/>
                    <w:rPr>
                      <w:rFonts w:ascii="宋体" w:hAnsi="宋体"/>
                      <w:szCs w:val="21"/>
                    </w:rPr>
                  </w:pPr>
                </w:p>
              </w:tc>
              <w:tc>
                <w:tcPr>
                  <w:tcW w:w="2463" w:type="dxa"/>
                </w:tcPr>
                <w:p>
                  <w:pPr>
                    <w:shd w:val="clear"/>
                    <w:rPr>
                      <w:rFonts w:ascii="宋体" w:hAnsi="宋体"/>
                      <w:szCs w:val="21"/>
                    </w:rPr>
                  </w:pPr>
                </w:p>
              </w:tc>
              <w:tc>
                <w:tcPr>
                  <w:tcW w:w="968" w:type="dxa"/>
                </w:tcPr>
                <w:p>
                  <w:pPr>
                    <w:shd w:val="clea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ascii="宋体" w:hAnsi="宋体" w:eastAsia="宋体"/>
                      <w:szCs w:val="21"/>
                      <w:lang w:val="en-US" w:eastAsia="zh-CN"/>
                    </w:rPr>
                  </w:pPr>
                </w:p>
              </w:tc>
              <w:tc>
                <w:tcPr>
                  <w:tcW w:w="2033" w:type="dxa"/>
                </w:tcPr>
                <w:p>
                  <w:pPr>
                    <w:shd w:val="clea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shd w:val="clea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shd w:val="clear"/>
                    <w:rPr>
                      <w:rFonts w:ascii="宋体" w:hAnsi="宋体"/>
                      <w:color w:val="000000"/>
                      <w:szCs w:val="21"/>
                    </w:rPr>
                  </w:pPr>
                </w:p>
              </w:tc>
              <w:tc>
                <w:tcPr>
                  <w:tcW w:w="2463" w:type="dxa"/>
                </w:tcPr>
                <w:p>
                  <w:pPr>
                    <w:shd w:val="clear"/>
                    <w:rPr>
                      <w:rFonts w:ascii="宋体" w:hAnsi="宋体" w:cs="宋体"/>
                      <w:szCs w:val="21"/>
                    </w:rPr>
                  </w:pPr>
                </w:p>
              </w:tc>
              <w:tc>
                <w:tcPr>
                  <w:tcW w:w="968" w:type="dxa"/>
                </w:tcPr>
                <w:p>
                  <w:pPr>
                    <w:shd w:val="clear"/>
                    <w:rPr>
                      <w:rFonts w:ascii="宋体" w:hAnsi="宋体"/>
                      <w:szCs w:val="21"/>
                    </w:rP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18" w:type="dxa"/>
            <w:vMerge w:val="restart"/>
            <w:shd w:val="clear" w:color="auto" w:fill="auto"/>
          </w:tcPr>
          <w:p>
            <w:pPr>
              <w:shd w:val="clear"/>
            </w:pPr>
            <w:r>
              <w:rPr>
                <w:rFonts w:hint="eastAsia"/>
              </w:rPr>
              <w:t>持续改进</w:t>
            </w:r>
          </w:p>
        </w:tc>
        <w:tc>
          <w:tcPr>
            <w:tcW w:w="1055" w:type="dxa"/>
            <w:vMerge w:val="restart"/>
            <w:shd w:val="clear" w:color="auto" w:fill="auto"/>
          </w:tcPr>
          <w:p>
            <w:pPr>
              <w:shd w:val="clear"/>
            </w:pPr>
            <w:r>
              <w:rPr>
                <w:rFonts w:hint="eastAsia"/>
              </w:rPr>
              <w:t>Q10.3</w:t>
            </w:r>
          </w:p>
          <w:p>
            <w:pPr>
              <w:shd w:val="clear"/>
              <w:rPr>
                <w:rFonts w:hint="eastAsia"/>
              </w:rPr>
            </w:pPr>
            <w:r>
              <w:rPr>
                <w:rFonts w:hint="eastAsia"/>
              </w:rPr>
              <w:t>F10.2</w:t>
            </w:r>
          </w:p>
          <w:p>
            <w:pPr>
              <w:pStyle w:val="6"/>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rFonts w:hint="eastAsia"/>
              </w:rPr>
            </w:pPr>
            <w:r>
              <w:rPr>
                <w:rFonts w:hint="eastAsia"/>
              </w:rPr>
              <w:t>组织已持续改进</w:t>
            </w:r>
            <w:r>
              <w:rPr>
                <w:rFonts w:hint="eastAsia"/>
                <w:u w:val="single"/>
              </w:rPr>
              <w:t>质量/食品安全管理体系</w:t>
            </w:r>
            <w:r>
              <w:rPr>
                <w:rFonts w:hint="eastAsia"/>
              </w:rPr>
              <w:t>的适宜性、充分性和有效性，以提升食品安全绩效。</w:t>
            </w:r>
          </w:p>
          <w:p>
            <w:pPr>
              <w:shd w:val="clear"/>
            </w:pPr>
            <w:r>
              <w:rPr>
                <w:rFonts w:hint="eastAsia"/>
              </w:rPr>
              <w:t>组织考虑了分析和评价的结果以及管理评审的输出，确定是否存在需求或机遇，这些需求或机遇应作为持续改进的一部分加以应对。</w:t>
            </w:r>
          </w:p>
          <w:p>
            <w:pPr>
              <w:widowControl/>
              <w:shd w:val="clear"/>
              <w:spacing w:before="40"/>
              <w:jc w:val="left"/>
              <w:rPr>
                <w:rFonts w:hint="eastAsia" w:eastAsia="宋体"/>
                <w:lang w:val="en-US" w:eastAsia="zh-CN"/>
              </w:rPr>
            </w:pPr>
            <w:r>
              <w:rPr>
                <w:rFonts w:hint="eastAsia"/>
              </w:rPr>
              <w:sym w:font="Wingdings" w:char="00A8"/>
            </w:r>
            <w:r>
              <w:rPr>
                <w:rFonts w:hint="eastAsia"/>
              </w:rPr>
              <w:t xml:space="preserve"> 管理评审改进措施已落实</w:t>
            </w:r>
            <w:r>
              <w:rPr>
                <w:rFonts w:hint="eastAsia"/>
                <w:lang w:eastAsia="zh-CN"/>
              </w:rPr>
              <w:t>，</w:t>
            </w:r>
            <w:r>
              <w:rPr>
                <w:rFonts w:hint="eastAsia"/>
                <w:u w:val="single"/>
                <w:lang w:val="en-US" w:eastAsia="zh-CN"/>
              </w:rPr>
              <w:t>提供有管理评审报告，但未明确存在的问题以及纠正措施，已现场沟通</w:t>
            </w:r>
            <w:r>
              <w:rPr>
                <w:rFonts w:hint="eastAsia"/>
                <w:u w:val="single"/>
              </w:rPr>
              <w:t xml:space="preserve">        </w:t>
            </w:r>
          </w:p>
          <w:p>
            <w:pPr>
              <w:shd w:val="clear"/>
            </w:pPr>
            <w:r>
              <w:rPr>
                <w:rFonts w:hint="eastAsia"/>
              </w:rPr>
              <w:sym w:font="Wingdings" w:char="00A8"/>
            </w:r>
            <w:r>
              <w:rPr>
                <w:rFonts w:hint="eastAsia"/>
              </w:rPr>
              <w:t xml:space="preserve"> 管理评审改进措施未落实的原因：</w:t>
            </w:r>
            <w:r>
              <w:rPr>
                <w:rFonts w:hint="eastAsia"/>
                <w:u w:val="single"/>
              </w:rPr>
              <w:t xml:space="preserve">             </w:t>
            </w:r>
          </w:p>
          <w:p>
            <w:pPr>
              <w:shd w:val="clear"/>
              <w:rPr>
                <w:rFonts w:hint="eastAsia"/>
              </w:rPr>
            </w:pPr>
          </w:p>
          <w:p>
            <w:pPr>
              <w:shd w:val="clear"/>
              <w:rPr>
                <w:rFonts w:hint="eastAsia" w:eastAsia="宋体"/>
                <w:lang w:eastAsia="zh-CN"/>
              </w:rPr>
            </w:pPr>
          </w:p>
          <w:p>
            <w:pPr>
              <w:shd w:val="clear"/>
            </w:pPr>
            <w:r>
              <w:rPr>
                <w:rFonts w:hint="eastAsia"/>
              </w:rPr>
              <w:t>最高管理者应确保组织通过以下活动， 持续改进食品安全管理体系的有效性：</w:t>
            </w:r>
          </w:p>
          <w:p>
            <w:pPr>
              <w:shd w:val="clear"/>
            </w:pPr>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pPr>
              <w:shd w:val="clear"/>
            </w:pPr>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1518" w:type="dxa"/>
            <w:vMerge w:val="restart"/>
            <w:shd w:val="clear" w:color="auto" w:fill="auto"/>
          </w:tcPr>
          <w:p>
            <w:pPr>
              <w:shd w:val="clear"/>
            </w:pPr>
            <w:r>
              <w:rPr>
                <w:rFonts w:hint="eastAsia"/>
              </w:rPr>
              <w:t>食品安全管理体系的更新</w:t>
            </w:r>
          </w:p>
        </w:tc>
        <w:tc>
          <w:tcPr>
            <w:tcW w:w="1055" w:type="dxa"/>
            <w:vMerge w:val="restart"/>
            <w:shd w:val="clear" w:color="auto" w:fill="auto"/>
          </w:tcPr>
          <w:p>
            <w:pPr>
              <w:shd w:val="clear"/>
            </w:pPr>
            <w:r>
              <w:rPr>
                <w:rFonts w:hint="eastAsia"/>
              </w:rPr>
              <w:t>F10.3</w:t>
            </w: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default" w:eastAsia="宋体"/>
                <w:lang w:val="en-US" w:eastAsia="zh-CN"/>
              </w:rPr>
            </w:pPr>
            <w:r>
              <w:rPr>
                <w:rFonts w:hint="eastAsia"/>
              </w:rPr>
              <w:t>如：</w:t>
            </w:r>
            <w:r>
              <w:rPr>
                <w:rFonts w:hint="eastAsia"/>
              </w:rPr>
              <w:sym w:font="Wingdings" w:char="00FE"/>
            </w:r>
            <w:r>
              <w:rPr>
                <w:rFonts w:hint="eastAsia"/>
                <w:lang w:eastAsia="zh-CN"/>
              </w:rPr>
              <w:t>《</w:t>
            </w:r>
            <w:r>
              <w:rPr>
                <w:rFonts w:hint="eastAsia"/>
                <w:lang w:val="en-US" w:eastAsia="zh-CN"/>
              </w:rPr>
              <w:t>食品安全</w:t>
            </w:r>
            <w:r>
              <w:rPr>
                <w:rFonts w:hint="eastAsia"/>
              </w:rPr>
              <w:t>管理手册</w:t>
            </w:r>
            <w:r>
              <w:rPr>
                <w:rFonts w:hint="eastAsia"/>
                <w:lang w:eastAsia="zh-CN"/>
              </w:rPr>
              <w:t>》</w:t>
            </w:r>
            <w:r>
              <w:rPr>
                <w:rFonts w:hint="eastAsia"/>
              </w:rPr>
              <w:t>10.</w:t>
            </w:r>
            <w:r>
              <w:rPr>
                <w:rFonts w:hint="eastAsia"/>
                <w:lang w:val="en-US" w:eastAsia="zh-CN"/>
              </w:rPr>
              <w:t>3条款</w:t>
            </w:r>
          </w:p>
        </w:tc>
        <w:tc>
          <w:tcPr>
            <w:tcW w:w="1585" w:type="dxa"/>
            <w:vMerge w:val="restart"/>
            <w:shd w:val="clear" w:color="auto" w:fill="auto"/>
          </w:tcPr>
          <w:p>
            <w:pPr>
              <w:shd w:val="clear"/>
              <w:rPr>
                <w:rFonts w:hint="eastAsia" w:eastAsia="宋体"/>
                <w:lang w:val="en-US" w:eastAsia="zh-CN"/>
              </w:rPr>
            </w:pPr>
            <w:r>
              <w:rPr/>
              <w:sym w:font="Wingdings" w:char="00FE"/>
            </w:r>
            <w:r>
              <w:rPr>
                <w:rFonts w:hint="eastAsia"/>
                <w:lang w:val="en-US" w:eastAsia="zh-CN"/>
              </w:rPr>
              <w:t>符合</w:t>
            </w:r>
          </w:p>
          <w:p>
            <w:pPr>
              <w:shd w:val="clea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pPr>
              <w:shd w:val="clear"/>
            </w:pPr>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pPr>
              <w:shd w:val="clear"/>
            </w:pPr>
            <w:r>
              <w:rPr>
                <w:rFonts w:hint="eastAsia"/>
              </w:rPr>
              <w:sym w:font="Wingdings" w:char="00FE"/>
            </w:r>
            <w:r>
              <w:t>有必要审查危害分析</w:t>
            </w:r>
          </w:p>
          <w:p>
            <w:pPr>
              <w:shd w:val="clear"/>
            </w:pPr>
            <w:r>
              <w:rPr>
                <w:rFonts w:hint="eastAsia"/>
              </w:rPr>
              <w:sym w:font="Wingdings" w:char="00FE"/>
            </w:r>
            <w:r>
              <w:t>已建立的危害控制计划</w:t>
            </w:r>
          </w:p>
          <w:p>
            <w:pPr>
              <w:shd w:val="clear"/>
            </w:pPr>
            <w:r>
              <w:rPr>
                <w:rFonts w:hint="eastAsia"/>
              </w:rPr>
              <w:sym w:font="Wingdings" w:char="00FE"/>
            </w:r>
            <w:r>
              <w:t>已建立的PRP。</w:t>
            </w:r>
          </w:p>
          <w:p>
            <w:pPr>
              <w:pStyle w:val="8"/>
              <w:shd w:val="clear"/>
            </w:pPr>
          </w:p>
          <w:p>
            <w:pPr>
              <w:shd w:val="clear"/>
            </w:pPr>
            <w:r>
              <w:t>更新活动应基于：</w:t>
            </w:r>
          </w:p>
          <w:p>
            <w:pPr>
              <w:shd w:val="clear"/>
            </w:pPr>
            <w:r>
              <w:rPr>
                <w:rFonts w:hint="eastAsia"/>
              </w:rPr>
              <w:sym w:font="Wingdings" w:char="00FE"/>
            </w:r>
            <w:r>
              <w:rPr>
                <w:rFonts w:hint="eastAsia"/>
              </w:rPr>
              <w:t xml:space="preserve"> </w:t>
            </w:r>
            <w:r>
              <w:t>来自外部和内部通信的输入；</w:t>
            </w:r>
          </w:p>
          <w:p>
            <w:pPr>
              <w:shd w:val="clear"/>
            </w:pPr>
            <w:r>
              <w:rPr>
                <w:rFonts w:hint="eastAsia"/>
              </w:rPr>
              <w:sym w:font="Wingdings" w:char="00FE"/>
            </w:r>
            <w:r>
              <w:rPr>
                <w:rFonts w:hint="eastAsia"/>
              </w:rPr>
              <w:t xml:space="preserve"> </w:t>
            </w:r>
            <w:r>
              <w:t>其他有关食品安全管理系统的适宜性、充分性和有效性的信息的输入；</w:t>
            </w:r>
          </w:p>
          <w:p>
            <w:pPr>
              <w:shd w:val="clear"/>
            </w:pPr>
            <w:r>
              <w:rPr>
                <w:rFonts w:hint="eastAsia"/>
              </w:rPr>
              <w:sym w:font="Wingdings" w:char="00FE"/>
            </w:r>
            <w:r>
              <w:rPr>
                <w:rFonts w:hint="eastAsia"/>
              </w:rPr>
              <w:t xml:space="preserve"> </w:t>
            </w:r>
            <w:r>
              <w:t>验证活动结果分析的输出；</w:t>
            </w:r>
          </w:p>
          <w:p>
            <w:pPr>
              <w:shd w:val="clear"/>
            </w:pPr>
            <w:r>
              <w:rPr>
                <w:rFonts w:hint="eastAsia"/>
              </w:rPr>
              <w:sym w:font="Wingdings" w:char="00FE"/>
            </w:r>
            <w:r>
              <w:rPr>
                <w:rFonts w:hint="eastAsia"/>
              </w:rPr>
              <w:t xml:space="preserve"> </w:t>
            </w:r>
            <w:r>
              <w:t>管理评审的输出。</w:t>
            </w:r>
          </w:p>
          <w:p>
            <w:pPr>
              <w:shd w:val="clear"/>
            </w:pPr>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w:t>
            </w:r>
            <w:r>
              <w:rPr>
                <w:rFonts w:hint="eastAsia"/>
                <w:u w:val="single"/>
              </w:rPr>
              <w:t xml:space="preserve">  </w:t>
            </w:r>
            <w:r>
              <w:rPr>
                <w:rFonts w:hint="eastAsia"/>
              </w:rPr>
              <w:t xml:space="preserve"> </w:t>
            </w:r>
            <w:r>
              <w:t>，作为输入报告给管理评审。</w:t>
            </w:r>
          </w:p>
        </w:tc>
        <w:tc>
          <w:tcPr>
            <w:tcW w:w="1585" w:type="dxa"/>
            <w:vMerge w:val="continue"/>
            <w:shd w:val="clear" w:color="auto" w:fill="auto"/>
          </w:tcPr>
          <w:p>
            <w:pPr>
              <w:shd w:val="clear"/>
            </w:pPr>
          </w:p>
        </w:tc>
      </w:tr>
    </w:tbl>
    <w:p>
      <w:pPr>
        <w:shd w:val="clear"/>
      </w:pPr>
    </w:p>
    <w:p>
      <w:pPr>
        <w:pStyle w:val="6"/>
        <w:shd w:val="clea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42545</wp:posOffset>
          </wp:positionH>
          <wp:positionV relativeFrom="paragraph">
            <wp:posOffset>20320</wp:posOffset>
          </wp:positionV>
          <wp:extent cx="366395" cy="368935"/>
          <wp:effectExtent l="0" t="0" r="1905" b="1206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66395" cy="36893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754D7"/>
    <w:multiLevelType w:val="singleLevel"/>
    <w:tmpl w:val="A61754D7"/>
    <w:lvl w:ilvl="0" w:tentative="0">
      <w:start w:val="1"/>
      <w:numFmt w:val="decimal"/>
      <w:suff w:val="space"/>
      <w:lvlText w:val="%1."/>
      <w:lvlJc w:val="left"/>
    </w:lvl>
  </w:abstractNum>
  <w:abstractNum w:abstractNumId="1">
    <w:nsid w:val="B065FD65"/>
    <w:multiLevelType w:val="singleLevel"/>
    <w:tmpl w:val="B065FD65"/>
    <w:lvl w:ilvl="0" w:tentative="0">
      <w:start w:val="1"/>
      <w:numFmt w:val="decimal"/>
      <w:suff w:val="space"/>
      <w:lvlText w:val="%1."/>
      <w:lvlJc w:val="left"/>
    </w:lvl>
  </w:abstractNum>
  <w:abstractNum w:abstractNumId="2">
    <w:nsid w:val="D9157FF7"/>
    <w:multiLevelType w:val="singleLevel"/>
    <w:tmpl w:val="D9157FF7"/>
    <w:lvl w:ilvl="0" w:tentative="0">
      <w:start w:val="1"/>
      <w:numFmt w:val="lowerLetter"/>
      <w:suff w:val="space"/>
      <w:lvlText w:val="%1)"/>
      <w:lvlJc w:val="left"/>
    </w:lvl>
  </w:abstractNum>
  <w:abstractNum w:abstractNumId="3">
    <w:nsid w:val="19E194F9"/>
    <w:multiLevelType w:val="singleLevel"/>
    <w:tmpl w:val="19E194F9"/>
    <w:lvl w:ilvl="0" w:tentative="0">
      <w:start w:val="1"/>
      <w:numFmt w:val="lowerLetter"/>
      <w:lvlText w:val="%1)"/>
      <w:lvlJc w:val="left"/>
      <w:pPr>
        <w:tabs>
          <w:tab w:val="left" w:pos="312"/>
        </w:tabs>
      </w:pPr>
    </w:lvl>
  </w:abstractNum>
  <w:abstractNum w:abstractNumId="4">
    <w:nsid w:val="56645777"/>
    <w:multiLevelType w:val="singleLevel"/>
    <w:tmpl w:val="56645777"/>
    <w:lvl w:ilvl="0" w:tentative="0">
      <w:start w:val="1"/>
      <w:numFmt w:val="lowerLetter"/>
      <w:suff w:val="space"/>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8D3F5E"/>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3296CDD"/>
    <w:rsid w:val="132A79F2"/>
    <w:rsid w:val="134E7573"/>
    <w:rsid w:val="13890C2B"/>
    <w:rsid w:val="13A420AC"/>
    <w:rsid w:val="13C11723"/>
    <w:rsid w:val="13CA7517"/>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31E21CE"/>
    <w:rsid w:val="33562A0D"/>
    <w:rsid w:val="33715F28"/>
    <w:rsid w:val="33F07155"/>
    <w:rsid w:val="340C6245"/>
    <w:rsid w:val="343C4522"/>
    <w:rsid w:val="347A033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73242C"/>
    <w:rsid w:val="3AAB1306"/>
    <w:rsid w:val="3ABD0173"/>
    <w:rsid w:val="3ACE23E2"/>
    <w:rsid w:val="3B227AA7"/>
    <w:rsid w:val="3B2E0E8F"/>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40BE6"/>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02119A"/>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61285"/>
    <w:rsid w:val="4BC83B65"/>
    <w:rsid w:val="4C1A1162"/>
    <w:rsid w:val="4CA42F63"/>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49D5FB3"/>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B728A2"/>
    <w:rsid w:val="58B868EB"/>
    <w:rsid w:val="590D059A"/>
    <w:rsid w:val="592802C2"/>
    <w:rsid w:val="595074E8"/>
    <w:rsid w:val="5978735A"/>
    <w:rsid w:val="59E42114"/>
    <w:rsid w:val="59E710C8"/>
    <w:rsid w:val="5A1C59A1"/>
    <w:rsid w:val="5A386EB4"/>
    <w:rsid w:val="5A407674"/>
    <w:rsid w:val="5A432974"/>
    <w:rsid w:val="5A6A20C5"/>
    <w:rsid w:val="5AD64AF2"/>
    <w:rsid w:val="5AF30AE1"/>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2B6E51"/>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95537"/>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48538B"/>
    <w:rsid w:val="76577132"/>
    <w:rsid w:val="76BD747C"/>
    <w:rsid w:val="76CD52EB"/>
    <w:rsid w:val="76FE004A"/>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E402A56"/>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纯文本1"/>
    <w:basedOn w:val="1"/>
    <w:qFormat/>
    <w:uiPriority w:val="0"/>
    <w:rPr>
      <w:rFonts w:ascii="宋体" w:hAnsi="Courier New"/>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0</TotalTime>
  <ScaleCrop>false</ScaleCrop>
  <LinksUpToDate>false</LinksUpToDate>
  <CharactersWithSpaces>11225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2022-03-05T14:28:36Z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6B8C8AA4C961440D9CDADF80089A5170</vt:lpwstr>
  </property>
</Properties>
</file>