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3" w:rsidRDefault="00B316CF">
      <w:pPr>
        <w:pStyle w:val="a3"/>
        <w:spacing w:line="360" w:lineRule="auto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</w:t>
      </w:r>
      <w:r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p w:rsidR="00AA7313" w:rsidRDefault="00B316CF">
      <w:pPr>
        <w:pStyle w:val="a3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NFSW20-70</w:t>
      </w:r>
      <w:r>
        <w:rPr>
          <w:b/>
          <w:bCs/>
          <w:sz w:val="30"/>
          <w:szCs w:val="30"/>
        </w:rPr>
        <w:t>供水设备出水压力检测</w:t>
      </w:r>
      <w:r>
        <w:rPr>
          <w:b/>
          <w:bCs/>
          <w:sz w:val="30"/>
          <w:szCs w:val="30"/>
        </w:rPr>
        <w:t>过程</w:t>
      </w:r>
      <w:r>
        <w:rPr>
          <w:b/>
          <w:bCs/>
          <w:sz w:val="30"/>
          <w:szCs w:val="30"/>
        </w:rPr>
        <w:t>不确</w:t>
      </w:r>
      <w:r>
        <w:rPr>
          <w:b/>
          <w:bCs/>
          <w:sz w:val="30"/>
          <w:szCs w:val="30"/>
        </w:rPr>
        <w:t>定度评定报告</w:t>
      </w:r>
    </w:p>
    <w:p w:rsidR="00AA7313" w:rsidRDefault="00B316CF">
      <w:pPr>
        <w:numPr>
          <w:ilvl w:val="0"/>
          <w:numId w:val="1"/>
        </w:numPr>
        <w:spacing w:line="360" w:lineRule="auto"/>
        <w:rPr>
          <w:sz w:val="24"/>
          <w:lang w:bidi="ar"/>
        </w:rPr>
      </w:pPr>
      <w:r>
        <w:rPr>
          <w:b/>
          <w:sz w:val="24"/>
        </w:rPr>
        <w:t>测量过程</w:t>
      </w:r>
    </w:p>
    <w:p w:rsidR="00AA7313" w:rsidRDefault="00B316CF">
      <w:pPr>
        <w:spacing w:line="360" w:lineRule="auto"/>
        <w:rPr>
          <w:sz w:val="24"/>
          <w:lang w:bidi="ar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/>
          <w:sz w:val="24"/>
        </w:rPr>
        <w:t>.</w:t>
      </w:r>
      <w:r>
        <w:rPr>
          <w:bCs/>
          <w:sz w:val="24"/>
        </w:rPr>
        <w:t>1</w:t>
      </w:r>
      <w:r>
        <w:rPr>
          <w:sz w:val="24"/>
        </w:rPr>
        <w:t>、测量方法：</w:t>
      </w:r>
      <w:r>
        <w:rPr>
          <w:sz w:val="24"/>
        </w:rPr>
        <w:t xml:space="preserve">GB/T </w:t>
      </w:r>
      <w:r>
        <w:rPr>
          <w:rFonts w:hint="eastAsia"/>
          <w:sz w:val="24"/>
        </w:rPr>
        <w:t>3214-2007</w:t>
      </w:r>
      <w:r>
        <w:rPr>
          <w:rFonts w:hint="eastAsia"/>
          <w:sz w:val="24"/>
        </w:rPr>
        <w:t>《水泵流量的测定方法》</w:t>
      </w:r>
    </w:p>
    <w:p w:rsidR="00AA7313" w:rsidRDefault="00B316CF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</w:t>
      </w:r>
      <w:r>
        <w:rPr>
          <w:sz w:val="24"/>
          <w:lang w:bidi="ar"/>
        </w:rPr>
        <w:t>常温</w:t>
      </w:r>
    </w:p>
    <w:p w:rsidR="00AA7313" w:rsidRDefault="00B316CF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、检测设备：</w:t>
      </w:r>
      <w:r>
        <w:rPr>
          <w:rFonts w:hint="eastAsia"/>
          <w:sz w:val="24"/>
        </w:rPr>
        <w:t>压力变送器</w:t>
      </w:r>
      <w:r>
        <w:rPr>
          <w:sz w:val="24"/>
        </w:rPr>
        <w:t>，</w:t>
      </w:r>
      <w:r>
        <w:rPr>
          <w:rFonts w:hint="eastAsia"/>
          <w:sz w:val="24"/>
        </w:rPr>
        <w:t>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rel</w:t>
      </w:r>
      <w:r>
        <w:rPr>
          <w:rFonts w:hint="eastAsia"/>
          <w:sz w:val="24"/>
        </w:rPr>
        <w:t>=0.2%FS,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</w:p>
    <w:p w:rsidR="00AA7313" w:rsidRDefault="00B316CF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</w:t>
      </w:r>
      <w:r>
        <w:rPr>
          <w:color w:val="000000" w:themeColor="text1"/>
          <w:sz w:val="24"/>
        </w:rPr>
        <w:t>：</w:t>
      </w:r>
      <w:r>
        <w:rPr>
          <w:rFonts w:hint="eastAsia"/>
          <w:sz w:val="24"/>
        </w:rPr>
        <w:t>出水压力</w:t>
      </w:r>
      <w:r>
        <w:rPr>
          <w:rFonts w:hint="eastAsia"/>
          <w:sz w:val="24"/>
        </w:rPr>
        <w:t>(0.</w:t>
      </w:r>
      <w:r>
        <w:rPr>
          <w:rFonts w:hint="eastAsia"/>
          <w:sz w:val="24"/>
        </w:rPr>
        <w:t>69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0.71</w:t>
      </w:r>
      <w:r>
        <w:rPr>
          <w:rFonts w:hint="eastAsia"/>
          <w:sz w:val="24"/>
        </w:rPr>
        <w:t>)MPa</w:t>
      </w:r>
    </w:p>
    <w:p w:rsidR="00AA7313" w:rsidRDefault="00B316CF">
      <w:pPr>
        <w:pStyle w:val="ac"/>
        <w:spacing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1.5</w:t>
      </w:r>
      <w:r>
        <w:rPr>
          <w:rFonts w:ascii="Times New Roman"/>
          <w:color w:val="000000" w:themeColor="text1"/>
          <w:sz w:val="24"/>
          <w:szCs w:val="24"/>
        </w:rPr>
        <w:t>、测量过程：</w:t>
      </w:r>
      <w:r>
        <w:rPr>
          <w:rFonts w:ascii="Times New Roman" w:hint="eastAsia"/>
          <w:color w:val="000000" w:themeColor="text1"/>
          <w:sz w:val="24"/>
          <w:szCs w:val="24"/>
        </w:rPr>
        <w:t>按照</w:t>
      </w:r>
      <w:r>
        <w:rPr>
          <w:sz w:val="24"/>
          <w:szCs w:val="24"/>
        </w:rPr>
        <w:t xml:space="preserve">GB/T </w:t>
      </w:r>
      <w:r>
        <w:rPr>
          <w:rFonts w:hint="eastAsia"/>
          <w:sz w:val="24"/>
          <w:szCs w:val="24"/>
        </w:rPr>
        <w:t>3214-2007</w:t>
      </w:r>
      <w:r>
        <w:rPr>
          <w:rFonts w:hint="eastAsia"/>
          <w:sz w:val="24"/>
          <w:szCs w:val="24"/>
        </w:rPr>
        <w:t>《水泵流量的测定方法》的要求进行</w:t>
      </w:r>
      <w:r>
        <w:rPr>
          <w:rFonts w:ascii="Times New Roman" w:hint="eastAsia"/>
          <w:sz w:val="24"/>
          <w:szCs w:val="24"/>
        </w:rPr>
        <w:t>出水压力</w:t>
      </w:r>
      <w:r>
        <w:rPr>
          <w:rFonts w:hint="eastAsia"/>
          <w:sz w:val="24"/>
          <w:szCs w:val="24"/>
        </w:rPr>
        <w:t>的测试，</w:t>
      </w:r>
      <w:r>
        <w:rPr>
          <w:rFonts w:hint="eastAsia"/>
          <w:sz w:val="24"/>
          <w:szCs w:val="24"/>
        </w:rPr>
        <w:t>记录数据</w:t>
      </w:r>
      <w:r>
        <w:rPr>
          <w:rFonts w:ascii="Times New Roman"/>
          <w:sz w:val="24"/>
          <w:szCs w:val="24"/>
        </w:rPr>
        <w:t>。</w:t>
      </w:r>
    </w:p>
    <w:p w:rsidR="00AA7313" w:rsidRDefault="00B316C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AA7313" w:rsidRDefault="00B316CF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   </w:t>
      </w:r>
      <m:oMath>
        <m:r>
          <w:rPr>
            <w:rFonts w:ascii="Cambria Math" w:hAnsi="Cambria Math"/>
            <w:position w:val="-4"/>
            <w:sz w:val="24"/>
          </w:rPr>
          <m:t>Δ</m:t>
        </m:r>
      </m:oMath>
      <w:r w:rsidR="00D91B7D">
        <w:rPr>
          <w:rFonts w:hAnsi="Cambria Math" w:hint="eastAsia"/>
          <w:position w:val="-4"/>
          <w:sz w:val="24"/>
        </w:rPr>
        <w:t>P</w:t>
      </w:r>
      <w:r w:rsidR="00D91B7D">
        <w:rPr>
          <w:rFonts w:hAnsi="Cambria Math"/>
          <w:position w:val="-4"/>
          <w:sz w:val="24"/>
        </w:rPr>
        <w:t>=p</w:t>
      </w:r>
      <w:r>
        <w:rPr>
          <w:sz w:val="24"/>
        </w:rPr>
        <w:t xml:space="preserve">                     </w:t>
      </w:r>
    </w:p>
    <w:p w:rsidR="00AA7313" w:rsidRDefault="00B316CF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</m:t>
        </m:r>
      </m:oMath>
      <w:r>
        <w:rPr>
          <w:rFonts w:hAnsi="Cambria Math" w:hint="eastAsia"/>
          <w:position w:val="-4"/>
          <w:sz w:val="24"/>
        </w:rPr>
        <w:t>P</w:t>
      </w:r>
      <w:r>
        <w:rPr>
          <w:sz w:val="24"/>
        </w:rPr>
        <w:t xml:space="preserve"> ---</w:t>
      </w:r>
      <w:r>
        <w:rPr>
          <w:sz w:val="24"/>
        </w:rPr>
        <w:t>被测</w:t>
      </w:r>
      <w:r>
        <w:rPr>
          <w:rFonts w:hint="eastAsia"/>
          <w:sz w:val="24"/>
        </w:rPr>
        <w:t>样件的出水压力</w:t>
      </w:r>
    </w:p>
    <w:p w:rsidR="00AA7313" w:rsidRDefault="00B316CF">
      <w:pPr>
        <w:autoSpaceDE w:val="0"/>
        <w:autoSpaceDN w:val="0"/>
        <w:adjustRightInd w:val="0"/>
        <w:spacing w:line="36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P</w:t>
      </w:r>
      <w:r>
        <w:rPr>
          <w:sz w:val="24"/>
        </w:rPr>
        <w:t>--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压力变送器</w:t>
      </w:r>
      <w:r>
        <w:rPr>
          <w:rFonts w:hint="eastAsia"/>
          <w:sz w:val="24"/>
        </w:rPr>
        <w:t>显示的读数值</w:t>
      </w:r>
    </w:p>
    <w:p w:rsidR="00AA7313" w:rsidRDefault="00B316CF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出水压力</w:t>
      </w:r>
      <w:r>
        <w:rPr>
          <w:b/>
          <w:sz w:val="24"/>
        </w:rPr>
        <w:t>的标准不确定度评定</w:t>
      </w:r>
    </w:p>
    <w:p w:rsidR="00AA7313" w:rsidRDefault="00B316CF">
      <w:pPr>
        <w:spacing w:line="360" w:lineRule="auto"/>
        <w:ind w:firstLineChars="257" w:firstLine="617"/>
        <w:rPr>
          <w:bCs/>
          <w:sz w:val="24"/>
        </w:rPr>
      </w:pPr>
      <w:r>
        <w:rPr>
          <w:rFonts w:hint="eastAsia"/>
          <w:sz w:val="24"/>
        </w:rPr>
        <w:t>出水压力</w:t>
      </w:r>
      <w:r>
        <w:rPr>
          <w:sz w:val="24"/>
        </w:rPr>
        <w:t>的不确定度</w:t>
      </w:r>
      <w:r>
        <w:rPr>
          <w:rFonts w:hint="eastAsia"/>
          <w:sz w:val="24"/>
        </w:rPr>
        <w:t>主要</w:t>
      </w:r>
      <w:r>
        <w:rPr>
          <w:sz w:val="24"/>
        </w:rPr>
        <w:t>来源于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AA7313" w:rsidRDefault="00B316CF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AA7313" w:rsidRDefault="00B316CF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对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进行</w:t>
      </w:r>
      <w:r>
        <w:rPr>
          <w:sz w:val="24"/>
        </w:rPr>
        <w:t>A</w:t>
      </w:r>
      <w:r>
        <w:rPr>
          <w:sz w:val="24"/>
        </w:rPr>
        <w:t>类评定：在</w:t>
      </w:r>
      <w:r>
        <w:rPr>
          <w:rFonts w:hint="eastAsia"/>
          <w:sz w:val="24"/>
        </w:rPr>
        <w:t>压力变送器</w:t>
      </w:r>
      <w:r>
        <w:rPr>
          <w:sz w:val="24"/>
        </w:rPr>
        <w:t>正常工作状态下，</w:t>
      </w:r>
      <w:r>
        <w:rPr>
          <w:rFonts w:hint="eastAsia"/>
          <w:sz w:val="24"/>
        </w:rPr>
        <w:t>相同的操作者</w:t>
      </w:r>
      <w:r>
        <w:rPr>
          <w:sz w:val="24"/>
        </w:rPr>
        <w:t>，</w:t>
      </w:r>
      <w:r>
        <w:rPr>
          <w:rFonts w:hint="eastAsia"/>
          <w:sz w:val="24"/>
        </w:rPr>
        <w:t>相同的操作条件和地点，</w:t>
      </w:r>
      <w:r>
        <w:rPr>
          <w:sz w:val="24"/>
        </w:rPr>
        <w:t>用同</w:t>
      </w:r>
      <w:r>
        <w:rPr>
          <w:rFonts w:hint="eastAsia"/>
          <w:sz w:val="24"/>
        </w:rPr>
        <w:t>一只</w:t>
      </w:r>
      <w:r>
        <w:rPr>
          <w:rFonts w:hint="eastAsia"/>
          <w:sz w:val="24"/>
        </w:rPr>
        <w:t>压力变送器</w:t>
      </w:r>
      <w:r>
        <w:rPr>
          <w:sz w:val="24"/>
        </w:rPr>
        <w:t>，在</w:t>
      </w:r>
      <w:r>
        <w:rPr>
          <w:rFonts w:hint="eastAsia"/>
          <w:sz w:val="24"/>
        </w:rPr>
        <w:t>短时间内重复</w:t>
      </w:r>
      <w:r>
        <w:rPr>
          <w:sz w:val="24"/>
        </w:rPr>
        <w:t>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到</w:t>
      </w:r>
      <w:r>
        <w:rPr>
          <w:sz w:val="24"/>
        </w:rPr>
        <w:t>10</w:t>
      </w:r>
      <w:r>
        <w:rPr>
          <w:sz w:val="24"/>
        </w:rPr>
        <w:t>个测量数据</w:t>
      </w:r>
      <w:r>
        <w:rPr>
          <w:rFonts w:hint="eastAsia"/>
          <w:sz w:val="24"/>
        </w:rPr>
        <w:t>如</w:t>
      </w: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：</w:t>
      </w:r>
    </w:p>
    <w:p w:rsidR="00AA7313" w:rsidRDefault="00B316CF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622" w:tblpY="244"/>
        <w:tblOverlap w:val="never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810"/>
        <w:gridCol w:w="830"/>
        <w:gridCol w:w="800"/>
        <w:gridCol w:w="820"/>
        <w:gridCol w:w="760"/>
        <w:gridCol w:w="790"/>
        <w:gridCol w:w="840"/>
        <w:gridCol w:w="840"/>
        <w:gridCol w:w="900"/>
        <w:gridCol w:w="765"/>
      </w:tblGrid>
      <w:tr w:rsidR="00AA7313">
        <w:trPr>
          <w:trHeight w:val="465"/>
        </w:trPr>
        <w:tc>
          <w:tcPr>
            <w:tcW w:w="104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Chars="113"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ind w:leftChars="49" w:left="103" w:firstLineChars="50" w:firstLine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7313">
        <w:trPr>
          <w:trHeight w:val="450"/>
        </w:trPr>
        <w:tc>
          <w:tcPr>
            <w:tcW w:w="1040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MPa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81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  <w:tc>
          <w:tcPr>
            <w:tcW w:w="83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  <w:tc>
          <w:tcPr>
            <w:tcW w:w="80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  <w:tc>
          <w:tcPr>
            <w:tcW w:w="82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0.692</w:t>
            </w:r>
          </w:p>
        </w:tc>
        <w:tc>
          <w:tcPr>
            <w:tcW w:w="76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  <w:tc>
          <w:tcPr>
            <w:tcW w:w="79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0.692</w:t>
            </w:r>
          </w:p>
        </w:tc>
        <w:tc>
          <w:tcPr>
            <w:tcW w:w="84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0.692</w:t>
            </w:r>
          </w:p>
        </w:tc>
        <w:tc>
          <w:tcPr>
            <w:tcW w:w="84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0.692</w:t>
            </w:r>
          </w:p>
        </w:tc>
        <w:tc>
          <w:tcPr>
            <w:tcW w:w="900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  <w:tc>
          <w:tcPr>
            <w:tcW w:w="765" w:type="dxa"/>
            <w:vAlign w:val="center"/>
          </w:tcPr>
          <w:p w:rsidR="00AA7313" w:rsidRDefault="00B316CF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0.691</w:t>
            </w:r>
          </w:p>
        </w:tc>
      </w:tr>
    </w:tbl>
    <w:p w:rsidR="00AA7313" w:rsidRDefault="00AA7313">
      <w:pPr>
        <w:widowControl/>
        <w:tabs>
          <w:tab w:val="left" w:pos="8280"/>
        </w:tabs>
        <w:adjustRightInd w:val="0"/>
        <w:spacing w:line="360" w:lineRule="auto"/>
        <w:ind w:rightChars="-244" w:right="-512"/>
        <w:jc w:val="left"/>
        <w:rPr>
          <w:color w:val="FF0000"/>
          <w:sz w:val="24"/>
        </w:rPr>
      </w:pPr>
    </w:p>
    <w:p w:rsidR="00AA7313" w:rsidRDefault="00B316CF">
      <w:pPr>
        <w:spacing w:line="360" w:lineRule="auto"/>
        <w:rPr>
          <w:color w:val="FF0000"/>
          <w:sz w:val="24"/>
        </w:rPr>
      </w:pPr>
      <w:r>
        <w:rPr>
          <w:sz w:val="24"/>
        </w:rPr>
        <w:t>被测试件测量值的平均值：</w:t>
      </w:r>
      <w:r>
        <w:rPr>
          <w:sz w:val="24"/>
        </w:rPr>
        <w:t xml:space="preserve">  </w:t>
      </w:r>
      <w:r>
        <w:rPr>
          <w:color w:val="FF0000"/>
          <w:position w:val="-26"/>
          <w:sz w:val="24"/>
        </w:rPr>
        <w:object w:dxaOrig="2780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8.75pt;height:37.5pt" o:ole="">
            <v:imagedata r:id="rId8" o:title=""/>
          </v:shape>
          <o:OLEObject Type="Embed" ProgID="Equation.3" ShapeID="_x0000_i1025" DrawAspect="Content" ObjectID="_1707274916" r:id="rId9"/>
        </w:object>
      </w:r>
    </w:p>
    <w:p w:rsidR="00AA7313" w:rsidRDefault="00AA7313">
      <w:pPr>
        <w:spacing w:line="360" w:lineRule="auto"/>
        <w:ind w:firstLineChars="300" w:firstLine="720"/>
        <w:rPr>
          <w:kern w:val="0"/>
          <w:sz w:val="24"/>
        </w:rPr>
      </w:pPr>
    </w:p>
    <w:p w:rsidR="00AA7313" w:rsidRDefault="00B316CF">
      <w:pPr>
        <w:spacing w:line="360" w:lineRule="auto"/>
        <w:rPr>
          <w:sz w:val="24"/>
        </w:rPr>
      </w:pPr>
      <w:r>
        <w:rPr>
          <w:kern w:val="0"/>
          <w:sz w:val="24"/>
        </w:rPr>
        <w:lastRenderedPageBreak/>
        <w:t>单次重复性测量值的实验标准差</w:t>
      </w:r>
      <w:r>
        <w:rPr>
          <w:rFonts w:hint="eastAsia"/>
          <w:kern w:val="0"/>
          <w:sz w:val="24"/>
        </w:rPr>
        <w:t xml:space="preserve">: </w:t>
      </w:r>
      <w:r>
        <w:rPr>
          <w:kern w:val="0"/>
          <w:position w:val="-28"/>
          <w:sz w:val="24"/>
        </w:rPr>
        <w:object w:dxaOrig="4010" w:dyaOrig="880">
          <v:shape id="_x0000_i1026" type="#_x0000_t75" alt="" style="width:200.25pt;height:44.25pt" o:ole="">
            <v:imagedata r:id="rId10" o:title=""/>
          </v:shape>
          <o:OLEObject Type="Embed" ProgID="Equation.3" ShapeID="_x0000_i1026" DrawAspect="Content" ObjectID="_1707274917" r:id="rId11"/>
        </w:object>
      </w:r>
    </w:p>
    <w:p w:rsidR="00AA7313" w:rsidRDefault="00B316CF">
      <w:pPr>
        <w:widowControl/>
        <w:tabs>
          <w:tab w:val="center" w:pos="4360"/>
          <w:tab w:val="right" w:pos="8300"/>
        </w:tabs>
        <w:spacing w:line="360" w:lineRule="auto"/>
        <w:rPr>
          <w:sz w:val="24"/>
        </w:rPr>
      </w:pPr>
      <w:r>
        <w:rPr>
          <w:kern w:val="0"/>
          <w:sz w:val="24"/>
        </w:rPr>
        <w:t>被测量估计值</w:t>
      </w:r>
      <w:r>
        <w:rPr>
          <w:kern w:val="0"/>
          <w:position w:val="-4"/>
          <w:sz w:val="24"/>
        </w:rPr>
        <w:object w:dxaOrig="240" w:dyaOrig="340">
          <v:shape id="_x0000_i1027" type="#_x0000_t75" style="width:12pt;height:17.25pt" o:ole="">
            <v:imagedata r:id="rId12" o:title=""/>
          </v:shape>
          <o:OLEObject Type="Embed" ProgID="Equation.3" ShapeID="_x0000_i1027" DrawAspect="Content" ObjectID="_1707274918" r:id="rId13"/>
        </w:object>
      </w:r>
      <w:r>
        <w:rPr>
          <w:rFonts w:hint="eastAsia"/>
          <w:kern w:val="0"/>
          <w:position w:val="-4"/>
          <w:sz w:val="24"/>
        </w:rPr>
        <w:t>的</w:t>
      </w:r>
      <w:r>
        <w:rPr>
          <w:kern w:val="0"/>
          <w:sz w:val="24"/>
        </w:rPr>
        <w:t>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  <w:vertAlign w:val="subscript"/>
        </w:rPr>
        <w:t>。</w:t>
      </w:r>
      <w:r>
        <w:rPr>
          <w:kern w:val="0"/>
          <w:sz w:val="24"/>
        </w:rPr>
        <w:t>（</w:t>
      </w:r>
      <w:r>
        <w:rPr>
          <w:kern w:val="0"/>
          <w:position w:val="-4"/>
          <w:sz w:val="24"/>
        </w:rPr>
        <w:object w:dxaOrig="240" w:dyaOrig="340">
          <v:shape id="_x0000_i1028" type="#_x0000_t75" style="width:12pt;height:17.25pt" o:ole="">
            <v:imagedata r:id="rId14" o:title=""/>
          </v:shape>
          <o:OLEObject Type="Embed" ProgID="Equation.3" ShapeID="_x0000_i1028" DrawAspect="Content" ObjectID="_1707274919" r:id="rId15"/>
        </w:object>
      </w:r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r>
        <w:rPr>
          <w:kern w:val="0"/>
          <w:sz w:val="24"/>
        </w:rPr>
        <w:t>.</w:t>
      </w: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</w:t>
      </w:r>
      <w:r>
        <w:rPr>
          <w:rFonts w:hint="eastAsia"/>
          <w:sz w:val="24"/>
        </w:rPr>
        <w:t>001MPa</w:t>
      </w:r>
      <w:r>
        <w:rPr>
          <w:sz w:val="24"/>
        </w:rPr>
        <w:t xml:space="preserve">                                  </w:t>
      </w:r>
    </w:p>
    <w:p w:rsidR="00AA7313" w:rsidRDefault="00B316CF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</w:t>
      </w:r>
      <w:r>
        <w:rPr>
          <w:rFonts w:hint="eastAsia"/>
          <w:sz w:val="24"/>
        </w:rPr>
        <w:t>设备</w:t>
      </w:r>
      <w:r>
        <w:rPr>
          <w:sz w:val="24"/>
        </w:rPr>
        <w:t>引入的</w:t>
      </w:r>
      <w:r>
        <w:rPr>
          <w:kern w:val="0"/>
          <w:sz w:val="24"/>
        </w:rPr>
        <w:t>不确定度影响分量</w:t>
      </w:r>
      <w:r>
        <w:rPr>
          <w:i/>
          <w:iCs/>
          <w:kern w:val="0"/>
          <w:sz w:val="24"/>
        </w:rPr>
        <w:t>u</w:t>
      </w:r>
      <w:r>
        <w:rPr>
          <w:kern w:val="0"/>
          <w:sz w:val="24"/>
          <w:vertAlign w:val="subscript"/>
        </w:rPr>
        <w:t>2</w:t>
      </w:r>
    </w:p>
    <w:p w:rsidR="00AA7313" w:rsidRDefault="00B316CF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压力变送器</w:t>
      </w:r>
      <w:r>
        <w:rPr>
          <w:rFonts w:hint="eastAsia"/>
          <w:sz w:val="24"/>
        </w:rPr>
        <w:t>的校准证书</w:t>
      </w:r>
      <w:r>
        <w:rPr>
          <w:rFonts w:hint="eastAsia"/>
          <w:sz w:val="24"/>
        </w:rPr>
        <w:t>出具的不确定度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rel</w:t>
      </w:r>
      <w:r>
        <w:rPr>
          <w:rFonts w:hint="eastAsia"/>
          <w:sz w:val="24"/>
        </w:rPr>
        <w:t>=0.2%FS,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，</w:t>
      </w:r>
      <w:r>
        <w:rPr>
          <w:sz w:val="24"/>
        </w:rPr>
        <w:t>则</w:t>
      </w:r>
      <w:r>
        <w:rPr>
          <w:sz w:val="24"/>
        </w:rPr>
        <w:t>测量设备</w:t>
      </w:r>
      <w:r>
        <w:rPr>
          <w:sz w:val="24"/>
        </w:rPr>
        <w:t>引入的标准不确定度分量为：</w:t>
      </w:r>
    </w:p>
    <w:p w:rsidR="00AA7313" w:rsidRDefault="00B316CF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>
        <w:rPr>
          <w:kern w:val="0"/>
          <w:sz w:val="24"/>
        </w:rPr>
        <w:t>=</w:t>
      </w:r>
      <w:r>
        <w:rPr>
          <w:kern w:val="0"/>
          <w:position w:val="-26"/>
          <w:sz w:val="24"/>
        </w:rPr>
        <w:object w:dxaOrig="4060" w:dyaOrig="700">
          <v:shape id="_x0000_i1029" type="#_x0000_t75" alt="" style="width:203.25pt;height:35.25pt" o:ole="">
            <v:imagedata r:id="rId16" o:title=""/>
          </v:shape>
          <o:OLEObject Type="Embed" ProgID="Equation.3" ShapeID="_x0000_i1029" DrawAspect="Content" ObjectID="_1707274920" r:id="rId17"/>
        </w:object>
      </w:r>
    </w:p>
    <w:p w:rsidR="00AA7313" w:rsidRDefault="00B316CF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AA7313" w:rsidRDefault="00B316CF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AA7313" w:rsidRDefault="00B316C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AA7313" w:rsidRDefault="00B316CF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AA7313">
        <w:trPr>
          <w:trHeight w:val="650"/>
          <w:jc w:val="center"/>
        </w:trPr>
        <w:tc>
          <w:tcPr>
            <w:tcW w:w="2405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  <w:r>
              <w:rPr>
                <w:sz w:val="24"/>
              </w:rPr>
              <w:t xml:space="preserve">  </w:t>
            </w:r>
          </w:p>
        </w:tc>
      </w:tr>
      <w:tr w:rsidR="00AA7313">
        <w:trPr>
          <w:trHeight w:val="560"/>
          <w:jc w:val="center"/>
        </w:trPr>
        <w:tc>
          <w:tcPr>
            <w:tcW w:w="2405" w:type="dxa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0.001MPa</w:t>
            </w:r>
          </w:p>
        </w:tc>
      </w:tr>
      <w:tr w:rsidR="00AA7313">
        <w:trPr>
          <w:trHeight w:val="696"/>
          <w:jc w:val="center"/>
        </w:trPr>
        <w:tc>
          <w:tcPr>
            <w:tcW w:w="2405" w:type="dxa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AA7313" w:rsidRDefault="00B316CF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</w:p>
        </w:tc>
        <w:tc>
          <w:tcPr>
            <w:tcW w:w="2246" w:type="dxa"/>
            <w:vAlign w:val="center"/>
          </w:tcPr>
          <w:p w:rsidR="00AA7313" w:rsidRDefault="00B316CF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0.0007MPa</w:t>
            </w:r>
          </w:p>
        </w:tc>
      </w:tr>
    </w:tbl>
    <w:p w:rsidR="00AA7313" w:rsidRDefault="00AA7313">
      <w:pPr>
        <w:spacing w:line="360" w:lineRule="auto"/>
        <w:rPr>
          <w:sz w:val="24"/>
        </w:rPr>
      </w:pPr>
    </w:p>
    <w:p w:rsidR="00AA7313" w:rsidRDefault="00B316CF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AA7313" w:rsidRDefault="00B316C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合成标准不确定度可按下式得到：</w:t>
      </w:r>
    </w:p>
    <w:p w:rsidR="00AA7313" w:rsidRDefault="00B316CF">
      <w:pPr>
        <w:spacing w:line="360" w:lineRule="auto"/>
        <w:ind w:firstLineChars="200" w:firstLine="480"/>
        <w:rPr>
          <w:sz w:val="24"/>
        </w:rPr>
      </w:pPr>
      <w:r>
        <w:rPr>
          <w:position w:val="-14"/>
          <w:sz w:val="24"/>
          <w:vertAlign w:val="subscript"/>
        </w:rPr>
        <w:object w:dxaOrig="6619" w:dyaOrig="507">
          <v:shape id="_x0000_i1030" type="#_x0000_t75" alt="" style="width:330.75pt;height:25.5pt" o:ole="">
            <v:imagedata r:id="rId18" o:title=""/>
          </v:shape>
          <o:OLEObject Type="Embed" ProgID="Equation.3" ShapeID="_x0000_i1030" DrawAspect="Content" ObjectID="_1707274921" r:id="rId19"/>
        </w:object>
      </w:r>
    </w:p>
    <w:p w:rsidR="00AA7313" w:rsidRDefault="00B316C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AA7313" w:rsidRDefault="00B316CF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AA7313" w:rsidRDefault="00B316CF">
      <w:pPr>
        <w:spacing w:line="360" w:lineRule="auto"/>
        <w:ind w:firstLineChars="200" w:firstLine="48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r>
        <w:rPr>
          <w:sz w:val="24"/>
        </w:rPr>
        <w:t>＝</w:t>
      </w:r>
      <w:r>
        <w:rPr>
          <w:sz w:val="24"/>
        </w:rPr>
        <w:t>2×</w:t>
      </w:r>
      <w:r>
        <w:rPr>
          <w:sz w:val="24"/>
        </w:rPr>
        <w:t>0</w:t>
      </w:r>
      <w:r>
        <w:rPr>
          <w:rFonts w:hint="eastAsia"/>
          <w:sz w:val="24"/>
        </w:rPr>
        <w:t>.0012MPa</w:t>
      </w:r>
      <w:r>
        <w:rPr>
          <w:sz w:val="24"/>
        </w:rPr>
        <w:t>＝</w:t>
      </w:r>
      <w:r>
        <w:rPr>
          <w:rFonts w:hint="eastAsia"/>
          <w:sz w:val="24"/>
        </w:rPr>
        <w:t>0.0024MPa</w:t>
      </w:r>
    </w:p>
    <w:p w:rsidR="00AA7313" w:rsidRDefault="00B316CF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b/>
          <w:bCs/>
          <w:sz w:val="24"/>
        </w:rPr>
        <w:t>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AA7313" w:rsidRDefault="00B316CF">
      <w:pPr>
        <w:spacing w:line="360" w:lineRule="auto"/>
        <w:ind w:firstLineChars="200" w:firstLine="480"/>
        <w:rPr>
          <w:kern w:val="0"/>
          <w:sz w:val="24"/>
        </w:rPr>
      </w:pPr>
      <w:r>
        <w:rPr>
          <w:i/>
          <w:sz w:val="24"/>
        </w:rPr>
        <w:t>U</w:t>
      </w:r>
      <w:r>
        <w:rPr>
          <w:iCs/>
          <w:sz w:val="24"/>
        </w:rPr>
        <w:t>＝</w:t>
      </w:r>
      <w:r>
        <w:rPr>
          <w:rFonts w:hint="eastAsia"/>
          <w:iCs/>
          <w:sz w:val="24"/>
        </w:rPr>
        <w:t>0.0024MPa</w:t>
      </w:r>
      <w:r>
        <w:rPr>
          <w:iCs/>
          <w:sz w:val="24"/>
        </w:rPr>
        <w:t xml:space="preserve">  </w:t>
      </w:r>
      <w:r>
        <w:rPr>
          <w:i/>
          <w:kern w:val="0"/>
          <w:sz w:val="24"/>
        </w:rPr>
        <w:t>k</w:t>
      </w:r>
      <w:r>
        <w:rPr>
          <w:iCs/>
          <w:kern w:val="0"/>
          <w:sz w:val="24"/>
        </w:rPr>
        <w:t xml:space="preserve"> = 2</w:t>
      </w:r>
    </w:p>
    <w:sectPr w:rsidR="00AA7313">
      <w:footerReference w:type="default" r:id="rId20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CF" w:rsidRDefault="00B316CF">
      <w:r>
        <w:separator/>
      </w:r>
    </w:p>
  </w:endnote>
  <w:endnote w:type="continuationSeparator" w:id="0">
    <w:p w:rsidR="00B316CF" w:rsidRDefault="00B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13" w:rsidRDefault="00B316CF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1B7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1B7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A7313" w:rsidRDefault="00AA73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CF" w:rsidRDefault="00B316CF">
      <w:r>
        <w:separator/>
      </w:r>
    </w:p>
  </w:footnote>
  <w:footnote w:type="continuationSeparator" w:id="0">
    <w:p w:rsidR="00B316CF" w:rsidRDefault="00B3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BFBD2C6"/>
    <w:multiLevelType w:val="singleLevel"/>
    <w:tmpl w:val="0BFBD2C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FDF975E"/>
    <w:multiLevelType w:val="singleLevel"/>
    <w:tmpl w:val="7FDF975E"/>
    <w:lvl w:ilvl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D6F3B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A42231"/>
    <w:rsid w:val="00AA7313"/>
    <w:rsid w:val="00B316CF"/>
    <w:rsid w:val="00B45D3B"/>
    <w:rsid w:val="00B72BDD"/>
    <w:rsid w:val="00BB5BA9"/>
    <w:rsid w:val="00C65C43"/>
    <w:rsid w:val="00CC3654"/>
    <w:rsid w:val="00D05652"/>
    <w:rsid w:val="00D24F36"/>
    <w:rsid w:val="00D60E80"/>
    <w:rsid w:val="00D91B7D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032A39"/>
    <w:rsid w:val="01131F5C"/>
    <w:rsid w:val="01543C57"/>
    <w:rsid w:val="01A572D6"/>
    <w:rsid w:val="01E8114D"/>
    <w:rsid w:val="02134043"/>
    <w:rsid w:val="024451FF"/>
    <w:rsid w:val="029D4DA9"/>
    <w:rsid w:val="032441FD"/>
    <w:rsid w:val="039E0C08"/>
    <w:rsid w:val="03A10CAA"/>
    <w:rsid w:val="04075530"/>
    <w:rsid w:val="0436565A"/>
    <w:rsid w:val="04444815"/>
    <w:rsid w:val="04706FFA"/>
    <w:rsid w:val="04833D81"/>
    <w:rsid w:val="048E78B7"/>
    <w:rsid w:val="04B3502A"/>
    <w:rsid w:val="04EB3566"/>
    <w:rsid w:val="05203B59"/>
    <w:rsid w:val="052D5D16"/>
    <w:rsid w:val="05834B33"/>
    <w:rsid w:val="05917A4D"/>
    <w:rsid w:val="059C21AC"/>
    <w:rsid w:val="05CC1598"/>
    <w:rsid w:val="05D917CE"/>
    <w:rsid w:val="06073C64"/>
    <w:rsid w:val="062619D7"/>
    <w:rsid w:val="063C65F3"/>
    <w:rsid w:val="06602905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02440D"/>
    <w:rsid w:val="08685BC2"/>
    <w:rsid w:val="08A46822"/>
    <w:rsid w:val="08CD2142"/>
    <w:rsid w:val="09600ABA"/>
    <w:rsid w:val="09BE7075"/>
    <w:rsid w:val="09F53EC7"/>
    <w:rsid w:val="0A273CBB"/>
    <w:rsid w:val="0A6A0552"/>
    <w:rsid w:val="0A6D12D3"/>
    <w:rsid w:val="0A9A5E74"/>
    <w:rsid w:val="0A9F23E7"/>
    <w:rsid w:val="0AC9349C"/>
    <w:rsid w:val="0AF37CA8"/>
    <w:rsid w:val="0B397FDA"/>
    <w:rsid w:val="0B3C3711"/>
    <w:rsid w:val="0B571171"/>
    <w:rsid w:val="0BC05253"/>
    <w:rsid w:val="0BDA2FAB"/>
    <w:rsid w:val="0BF568F1"/>
    <w:rsid w:val="0BFE7F4C"/>
    <w:rsid w:val="0C39210C"/>
    <w:rsid w:val="0C5D575B"/>
    <w:rsid w:val="0C6D0E4F"/>
    <w:rsid w:val="0CBB102F"/>
    <w:rsid w:val="0CCD0688"/>
    <w:rsid w:val="0CDE01E3"/>
    <w:rsid w:val="0CE0510D"/>
    <w:rsid w:val="0D4C612B"/>
    <w:rsid w:val="0DA246D5"/>
    <w:rsid w:val="0DB31D06"/>
    <w:rsid w:val="0DBD2F7C"/>
    <w:rsid w:val="0DC07BA3"/>
    <w:rsid w:val="0DD565AD"/>
    <w:rsid w:val="0E0E4026"/>
    <w:rsid w:val="0E1326AB"/>
    <w:rsid w:val="0E2137A4"/>
    <w:rsid w:val="0E50650B"/>
    <w:rsid w:val="0EBC1312"/>
    <w:rsid w:val="0ECD4A74"/>
    <w:rsid w:val="0ECF2DB5"/>
    <w:rsid w:val="0EEB4B2B"/>
    <w:rsid w:val="0F021F8D"/>
    <w:rsid w:val="0F4E76C6"/>
    <w:rsid w:val="0F7C3AD7"/>
    <w:rsid w:val="0F895180"/>
    <w:rsid w:val="0FB02CCD"/>
    <w:rsid w:val="0FC13A76"/>
    <w:rsid w:val="0FF75EFA"/>
    <w:rsid w:val="100C52F8"/>
    <w:rsid w:val="10B035AA"/>
    <w:rsid w:val="10C76CC6"/>
    <w:rsid w:val="10E76E9C"/>
    <w:rsid w:val="11184210"/>
    <w:rsid w:val="117068EC"/>
    <w:rsid w:val="1193590A"/>
    <w:rsid w:val="11AF1B39"/>
    <w:rsid w:val="11BE495F"/>
    <w:rsid w:val="11BF157E"/>
    <w:rsid w:val="11DD0A90"/>
    <w:rsid w:val="11F07B6C"/>
    <w:rsid w:val="11FC45E8"/>
    <w:rsid w:val="12710F52"/>
    <w:rsid w:val="128517D8"/>
    <w:rsid w:val="12E47367"/>
    <w:rsid w:val="130D306D"/>
    <w:rsid w:val="13873537"/>
    <w:rsid w:val="139520C4"/>
    <w:rsid w:val="13A51269"/>
    <w:rsid w:val="13F0621E"/>
    <w:rsid w:val="14F21366"/>
    <w:rsid w:val="150669D4"/>
    <w:rsid w:val="152010AF"/>
    <w:rsid w:val="1541200E"/>
    <w:rsid w:val="156A766A"/>
    <w:rsid w:val="1581369B"/>
    <w:rsid w:val="15844914"/>
    <w:rsid w:val="15C75A68"/>
    <w:rsid w:val="15C75CC0"/>
    <w:rsid w:val="15E72E94"/>
    <w:rsid w:val="160C253A"/>
    <w:rsid w:val="1676652C"/>
    <w:rsid w:val="16A92675"/>
    <w:rsid w:val="16AB2114"/>
    <w:rsid w:val="17000F10"/>
    <w:rsid w:val="17270964"/>
    <w:rsid w:val="175072CC"/>
    <w:rsid w:val="17DA36D9"/>
    <w:rsid w:val="18175742"/>
    <w:rsid w:val="183E7280"/>
    <w:rsid w:val="184846F1"/>
    <w:rsid w:val="1891397E"/>
    <w:rsid w:val="192F5554"/>
    <w:rsid w:val="19680742"/>
    <w:rsid w:val="198033E4"/>
    <w:rsid w:val="19905B34"/>
    <w:rsid w:val="19A223C6"/>
    <w:rsid w:val="19EA1606"/>
    <w:rsid w:val="19EC5021"/>
    <w:rsid w:val="1A295A32"/>
    <w:rsid w:val="1A2B58EB"/>
    <w:rsid w:val="1B0079D2"/>
    <w:rsid w:val="1B02691D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295B40"/>
    <w:rsid w:val="1D347F1B"/>
    <w:rsid w:val="1D4A0172"/>
    <w:rsid w:val="1D51099E"/>
    <w:rsid w:val="1D7625E1"/>
    <w:rsid w:val="1D7E6F35"/>
    <w:rsid w:val="1DB2779F"/>
    <w:rsid w:val="1E03261D"/>
    <w:rsid w:val="1E3A785E"/>
    <w:rsid w:val="1EEB57BD"/>
    <w:rsid w:val="1EF4175A"/>
    <w:rsid w:val="1F3251AB"/>
    <w:rsid w:val="1F3F30FC"/>
    <w:rsid w:val="1FBF3B04"/>
    <w:rsid w:val="1FEE0D47"/>
    <w:rsid w:val="1FF22845"/>
    <w:rsid w:val="1FF43D6E"/>
    <w:rsid w:val="200B6EB8"/>
    <w:rsid w:val="207C095D"/>
    <w:rsid w:val="20A17D3E"/>
    <w:rsid w:val="20F75763"/>
    <w:rsid w:val="21141391"/>
    <w:rsid w:val="21141A65"/>
    <w:rsid w:val="21244D7F"/>
    <w:rsid w:val="21416183"/>
    <w:rsid w:val="214F5096"/>
    <w:rsid w:val="21B44A2C"/>
    <w:rsid w:val="2204258C"/>
    <w:rsid w:val="22897E6A"/>
    <w:rsid w:val="229D0F3D"/>
    <w:rsid w:val="22A05F60"/>
    <w:rsid w:val="22A54E85"/>
    <w:rsid w:val="22C443A4"/>
    <w:rsid w:val="22CF6C0C"/>
    <w:rsid w:val="23745E92"/>
    <w:rsid w:val="23A470A8"/>
    <w:rsid w:val="23D84F69"/>
    <w:rsid w:val="242D23BA"/>
    <w:rsid w:val="24884C9B"/>
    <w:rsid w:val="24CB6DA3"/>
    <w:rsid w:val="24F85E00"/>
    <w:rsid w:val="25106B71"/>
    <w:rsid w:val="251B2B16"/>
    <w:rsid w:val="25263E94"/>
    <w:rsid w:val="25446C66"/>
    <w:rsid w:val="259B23FA"/>
    <w:rsid w:val="25C47678"/>
    <w:rsid w:val="25DC18B8"/>
    <w:rsid w:val="25E901E4"/>
    <w:rsid w:val="260B04D9"/>
    <w:rsid w:val="261C2806"/>
    <w:rsid w:val="26952394"/>
    <w:rsid w:val="26AA6502"/>
    <w:rsid w:val="26B4047C"/>
    <w:rsid w:val="26C77B58"/>
    <w:rsid w:val="271523F4"/>
    <w:rsid w:val="273F687F"/>
    <w:rsid w:val="27725E1D"/>
    <w:rsid w:val="27917E12"/>
    <w:rsid w:val="27BF5DE8"/>
    <w:rsid w:val="27E67DC6"/>
    <w:rsid w:val="282304B2"/>
    <w:rsid w:val="283D6F36"/>
    <w:rsid w:val="2888703C"/>
    <w:rsid w:val="28E30BCC"/>
    <w:rsid w:val="28E72B1C"/>
    <w:rsid w:val="29017971"/>
    <w:rsid w:val="292A5016"/>
    <w:rsid w:val="295164B2"/>
    <w:rsid w:val="295D751C"/>
    <w:rsid w:val="295E52F6"/>
    <w:rsid w:val="298731C5"/>
    <w:rsid w:val="29A44ECD"/>
    <w:rsid w:val="29D55203"/>
    <w:rsid w:val="29DD4721"/>
    <w:rsid w:val="29E21551"/>
    <w:rsid w:val="2A2C3382"/>
    <w:rsid w:val="2A2D2FE3"/>
    <w:rsid w:val="2ADC0C7B"/>
    <w:rsid w:val="2AE95DBC"/>
    <w:rsid w:val="2B183C58"/>
    <w:rsid w:val="2B1E588F"/>
    <w:rsid w:val="2B915DA3"/>
    <w:rsid w:val="2BAA221C"/>
    <w:rsid w:val="2BB03D0C"/>
    <w:rsid w:val="2BB2651F"/>
    <w:rsid w:val="2C293905"/>
    <w:rsid w:val="2C672178"/>
    <w:rsid w:val="2C725C92"/>
    <w:rsid w:val="2C7F5B3F"/>
    <w:rsid w:val="2CB95CCB"/>
    <w:rsid w:val="2CBF2EC6"/>
    <w:rsid w:val="2CD45115"/>
    <w:rsid w:val="2D9C69F1"/>
    <w:rsid w:val="2E295516"/>
    <w:rsid w:val="2E5D60B8"/>
    <w:rsid w:val="2E6170EC"/>
    <w:rsid w:val="2F4421D9"/>
    <w:rsid w:val="2F71161C"/>
    <w:rsid w:val="2F8341B4"/>
    <w:rsid w:val="2FC91055"/>
    <w:rsid w:val="302A1081"/>
    <w:rsid w:val="30D50061"/>
    <w:rsid w:val="31130268"/>
    <w:rsid w:val="31476743"/>
    <w:rsid w:val="3194312D"/>
    <w:rsid w:val="3199369F"/>
    <w:rsid w:val="319C4417"/>
    <w:rsid w:val="31CC14EB"/>
    <w:rsid w:val="31F564F9"/>
    <w:rsid w:val="32002692"/>
    <w:rsid w:val="3248224A"/>
    <w:rsid w:val="32513718"/>
    <w:rsid w:val="326B7BD8"/>
    <w:rsid w:val="328D786E"/>
    <w:rsid w:val="329657FA"/>
    <w:rsid w:val="329A0539"/>
    <w:rsid w:val="32AA72EE"/>
    <w:rsid w:val="32B6552E"/>
    <w:rsid w:val="32CC6078"/>
    <w:rsid w:val="32FD5AF2"/>
    <w:rsid w:val="331112E0"/>
    <w:rsid w:val="340F5A22"/>
    <w:rsid w:val="344A4C58"/>
    <w:rsid w:val="34840F47"/>
    <w:rsid w:val="34B46C29"/>
    <w:rsid w:val="34C55FEB"/>
    <w:rsid w:val="34D23BA7"/>
    <w:rsid w:val="35055E28"/>
    <w:rsid w:val="35081864"/>
    <w:rsid w:val="35221E10"/>
    <w:rsid w:val="3577010C"/>
    <w:rsid w:val="3594212D"/>
    <w:rsid w:val="35942F48"/>
    <w:rsid w:val="35AF42BC"/>
    <w:rsid w:val="35BB3EF0"/>
    <w:rsid w:val="35BC43EE"/>
    <w:rsid w:val="35D21864"/>
    <w:rsid w:val="36184782"/>
    <w:rsid w:val="361D2439"/>
    <w:rsid w:val="361D6A8E"/>
    <w:rsid w:val="36461D0E"/>
    <w:rsid w:val="36690C86"/>
    <w:rsid w:val="36874385"/>
    <w:rsid w:val="368972FF"/>
    <w:rsid w:val="3694542E"/>
    <w:rsid w:val="369670BA"/>
    <w:rsid w:val="36B1337A"/>
    <w:rsid w:val="36EA7F37"/>
    <w:rsid w:val="36EF3636"/>
    <w:rsid w:val="374B63DB"/>
    <w:rsid w:val="37983B97"/>
    <w:rsid w:val="379C5435"/>
    <w:rsid w:val="37A94C31"/>
    <w:rsid w:val="37F17F01"/>
    <w:rsid w:val="3832240A"/>
    <w:rsid w:val="385C5CFF"/>
    <w:rsid w:val="389B0011"/>
    <w:rsid w:val="389B26C6"/>
    <w:rsid w:val="38A76B41"/>
    <w:rsid w:val="38DE26A6"/>
    <w:rsid w:val="38F00271"/>
    <w:rsid w:val="39231CA2"/>
    <w:rsid w:val="3979419B"/>
    <w:rsid w:val="39983970"/>
    <w:rsid w:val="39B90E5F"/>
    <w:rsid w:val="39C51A88"/>
    <w:rsid w:val="39D94E03"/>
    <w:rsid w:val="39F55E38"/>
    <w:rsid w:val="3A366619"/>
    <w:rsid w:val="3A532552"/>
    <w:rsid w:val="3A546CFB"/>
    <w:rsid w:val="3A583AD8"/>
    <w:rsid w:val="3A9248BC"/>
    <w:rsid w:val="3A9E7CD6"/>
    <w:rsid w:val="3AAF7064"/>
    <w:rsid w:val="3B3532F3"/>
    <w:rsid w:val="3B925AFE"/>
    <w:rsid w:val="3BDE79F0"/>
    <w:rsid w:val="3BF007D8"/>
    <w:rsid w:val="3C190BD7"/>
    <w:rsid w:val="3C721B13"/>
    <w:rsid w:val="3C940DD1"/>
    <w:rsid w:val="3CC6578B"/>
    <w:rsid w:val="3CD52698"/>
    <w:rsid w:val="3E377C66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1D630D"/>
    <w:rsid w:val="40572841"/>
    <w:rsid w:val="405F2FA3"/>
    <w:rsid w:val="409E3002"/>
    <w:rsid w:val="409F2474"/>
    <w:rsid w:val="413E4CD5"/>
    <w:rsid w:val="41605725"/>
    <w:rsid w:val="41733268"/>
    <w:rsid w:val="41815A03"/>
    <w:rsid w:val="419824D2"/>
    <w:rsid w:val="419B4960"/>
    <w:rsid w:val="41BE41FA"/>
    <w:rsid w:val="41D43A1D"/>
    <w:rsid w:val="41EA1493"/>
    <w:rsid w:val="421836FA"/>
    <w:rsid w:val="42473790"/>
    <w:rsid w:val="42B72E18"/>
    <w:rsid w:val="42C65A5C"/>
    <w:rsid w:val="42F05023"/>
    <w:rsid w:val="43116D5D"/>
    <w:rsid w:val="43144A19"/>
    <w:rsid w:val="43226E9A"/>
    <w:rsid w:val="43310DEF"/>
    <w:rsid w:val="435E3EE6"/>
    <w:rsid w:val="43874DDA"/>
    <w:rsid w:val="43AF64F0"/>
    <w:rsid w:val="43E1370A"/>
    <w:rsid w:val="447828CB"/>
    <w:rsid w:val="44957419"/>
    <w:rsid w:val="44CE6944"/>
    <w:rsid w:val="45084E0D"/>
    <w:rsid w:val="4510340A"/>
    <w:rsid w:val="45436606"/>
    <w:rsid w:val="454C526C"/>
    <w:rsid w:val="45786D7F"/>
    <w:rsid w:val="457E3CC9"/>
    <w:rsid w:val="45BD2D92"/>
    <w:rsid w:val="45FE3658"/>
    <w:rsid w:val="462C7D91"/>
    <w:rsid w:val="46387880"/>
    <w:rsid w:val="463E616B"/>
    <w:rsid w:val="463F1C8F"/>
    <w:rsid w:val="4674376B"/>
    <w:rsid w:val="469470DF"/>
    <w:rsid w:val="46A71700"/>
    <w:rsid w:val="46D464E0"/>
    <w:rsid w:val="47115130"/>
    <w:rsid w:val="471A718B"/>
    <w:rsid w:val="472445AA"/>
    <w:rsid w:val="47270F47"/>
    <w:rsid w:val="47674205"/>
    <w:rsid w:val="47CD4DF0"/>
    <w:rsid w:val="481174DD"/>
    <w:rsid w:val="48971A0A"/>
    <w:rsid w:val="48B44343"/>
    <w:rsid w:val="49104251"/>
    <w:rsid w:val="49675177"/>
    <w:rsid w:val="49680B69"/>
    <w:rsid w:val="499A7F67"/>
    <w:rsid w:val="499D7538"/>
    <w:rsid w:val="49E153D4"/>
    <w:rsid w:val="49EA0FF1"/>
    <w:rsid w:val="49F66AF1"/>
    <w:rsid w:val="4A224389"/>
    <w:rsid w:val="4A2B6181"/>
    <w:rsid w:val="4A4334F0"/>
    <w:rsid w:val="4A6B7A4E"/>
    <w:rsid w:val="4AD8323A"/>
    <w:rsid w:val="4AE26A39"/>
    <w:rsid w:val="4B522FFF"/>
    <w:rsid w:val="4B5F1004"/>
    <w:rsid w:val="4B695010"/>
    <w:rsid w:val="4BA806D8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745CA4"/>
    <w:rsid w:val="4D9C3C1C"/>
    <w:rsid w:val="4E1A1F86"/>
    <w:rsid w:val="4E376FEA"/>
    <w:rsid w:val="4E404BF6"/>
    <w:rsid w:val="4E511EC7"/>
    <w:rsid w:val="4E537ACA"/>
    <w:rsid w:val="4E57304D"/>
    <w:rsid w:val="4E9273F7"/>
    <w:rsid w:val="4EC074DC"/>
    <w:rsid w:val="4F0F4307"/>
    <w:rsid w:val="4F3508CD"/>
    <w:rsid w:val="4F443B18"/>
    <w:rsid w:val="4FC31E5E"/>
    <w:rsid w:val="4FC501D3"/>
    <w:rsid w:val="503109B0"/>
    <w:rsid w:val="504B4C1A"/>
    <w:rsid w:val="506A3EB6"/>
    <w:rsid w:val="506C483B"/>
    <w:rsid w:val="50CA1F6E"/>
    <w:rsid w:val="510D7F1F"/>
    <w:rsid w:val="51103D48"/>
    <w:rsid w:val="51216689"/>
    <w:rsid w:val="513B0B9F"/>
    <w:rsid w:val="51610189"/>
    <w:rsid w:val="51613A75"/>
    <w:rsid w:val="51D57638"/>
    <w:rsid w:val="51D71733"/>
    <w:rsid w:val="52163E48"/>
    <w:rsid w:val="52315D80"/>
    <w:rsid w:val="526747A8"/>
    <w:rsid w:val="5271040D"/>
    <w:rsid w:val="53152507"/>
    <w:rsid w:val="53375584"/>
    <w:rsid w:val="535139EC"/>
    <w:rsid w:val="536A5EBD"/>
    <w:rsid w:val="53C67328"/>
    <w:rsid w:val="53F72C8E"/>
    <w:rsid w:val="53FA051D"/>
    <w:rsid w:val="54121291"/>
    <w:rsid w:val="546F1767"/>
    <w:rsid w:val="547419BE"/>
    <w:rsid w:val="549B5123"/>
    <w:rsid w:val="54A719C3"/>
    <w:rsid w:val="54B24BD6"/>
    <w:rsid w:val="550D2A39"/>
    <w:rsid w:val="55366705"/>
    <w:rsid w:val="55502285"/>
    <w:rsid w:val="5585369C"/>
    <w:rsid w:val="558C45D2"/>
    <w:rsid w:val="55D06237"/>
    <w:rsid w:val="55E0145F"/>
    <w:rsid w:val="55E75361"/>
    <w:rsid w:val="561C144A"/>
    <w:rsid w:val="56755922"/>
    <w:rsid w:val="56C5210A"/>
    <w:rsid w:val="570F2FDE"/>
    <w:rsid w:val="573B6A48"/>
    <w:rsid w:val="578B3B65"/>
    <w:rsid w:val="57CC2099"/>
    <w:rsid w:val="57F55EB3"/>
    <w:rsid w:val="58262129"/>
    <w:rsid w:val="582F6F84"/>
    <w:rsid w:val="5883181D"/>
    <w:rsid w:val="58901B50"/>
    <w:rsid w:val="589249BA"/>
    <w:rsid w:val="58C87CC6"/>
    <w:rsid w:val="58CB4813"/>
    <w:rsid w:val="58D81F6A"/>
    <w:rsid w:val="58F639C2"/>
    <w:rsid w:val="58F91F1B"/>
    <w:rsid w:val="5944689B"/>
    <w:rsid w:val="594D7C19"/>
    <w:rsid w:val="597C5875"/>
    <w:rsid w:val="59956C1A"/>
    <w:rsid w:val="59B857E0"/>
    <w:rsid w:val="59BC3241"/>
    <w:rsid w:val="59D42493"/>
    <w:rsid w:val="59EA12A0"/>
    <w:rsid w:val="59F76522"/>
    <w:rsid w:val="5A3C5121"/>
    <w:rsid w:val="5A3F282F"/>
    <w:rsid w:val="5A9B483D"/>
    <w:rsid w:val="5ACE0218"/>
    <w:rsid w:val="5AF61B49"/>
    <w:rsid w:val="5B980AB7"/>
    <w:rsid w:val="5BA913FC"/>
    <w:rsid w:val="5BBA55DA"/>
    <w:rsid w:val="5BEA2D95"/>
    <w:rsid w:val="5C27098D"/>
    <w:rsid w:val="5C4F1973"/>
    <w:rsid w:val="5C501380"/>
    <w:rsid w:val="5C6A5252"/>
    <w:rsid w:val="5C854FDC"/>
    <w:rsid w:val="5CB54C7C"/>
    <w:rsid w:val="5CB80534"/>
    <w:rsid w:val="5D36115F"/>
    <w:rsid w:val="5D40450D"/>
    <w:rsid w:val="5D4D535E"/>
    <w:rsid w:val="5D7B6436"/>
    <w:rsid w:val="5D92561D"/>
    <w:rsid w:val="5DB17AC7"/>
    <w:rsid w:val="5DE757F8"/>
    <w:rsid w:val="5E6C67F7"/>
    <w:rsid w:val="5E822F43"/>
    <w:rsid w:val="5EF23C9C"/>
    <w:rsid w:val="5EFD54A6"/>
    <w:rsid w:val="5F456B51"/>
    <w:rsid w:val="5FAA4AF1"/>
    <w:rsid w:val="5FBA6C7D"/>
    <w:rsid w:val="5FC44532"/>
    <w:rsid w:val="6001421E"/>
    <w:rsid w:val="6007674C"/>
    <w:rsid w:val="600B1C4F"/>
    <w:rsid w:val="600B2CAE"/>
    <w:rsid w:val="602F4E4E"/>
    <w:rsid w:val="604903C9"/>
    <w:rsid w:val="60501025"/>
    <w:rsid w:val="60571F5B"/>
    <w:rsid w:val="607246D5"/>
    <w:rsid w:val="60887992"/>
    <w:rsid w:val="60A22F1C"/>
    <w:rsid w:val="60EC6236"/>
    <w:rsid w:val="61131B89"/>
    <w:rsid w:val="611D1FE8"/>
    <w:rsid w:val="614439C5"/>
    <w:rsid w:val="61775A1A"/>
    <w:rsid w:val="61877715"/>
    <w:rsid w:val="61D4389A"/>
    <w:rsid w:val="624C756A"/>
    <w:rsid w:val="625C24E6"/>
    <w:rsid w:val="6304360C"/>
    <w:rsid w:val="634F489A"/>
    <w:rsid w:val="636B6556"/>
    <w:rsid w:val="636B7EDD"/>
    <w:rsid w:val="639677D8"/>
    <w:rsid w:val="63BD10F1"/>
    <w:rsid w:val="63DB627B"/>
    <w:rsid w:val="64857700"/>
    <w:rsid w:val="648956CF"/>
    <w:rsid w:val="64D94D23"/>
    <w:rsid w:val="65107258"/>
    <w:rsid w:val="66352759"/>
    <w:rsid w:val="66413CAC"/>
    <w:rsid w:val="66C003F5"/>
    <w:rsid w:val="675A3771"/>
    <w:rsid w:val="676A399F"/>
    <w:rsid w:val="6795759A"/>
    <w:rsid w:val="67DC5256"/>
    <w:rsid w:val="67E06173"/>
    <w:rsid w:val="67EE31DB"/>
    <w:rsid w:val="680B21F5"/>
    <w:rsid w:val="681A2A94"/>
    <w:rsid w:val="681B0E89"/>
    <w:rsid w:val="682A1EA8"/>
    <w:rsid w:val="68703BF0"/>
    <w:rsid w:val="687136DB"/>
    <w:rsid w:val="68C8067B"/>
    <w:rsid w:val="690F086D"/>
    <w:rsid w:val="6923468F"/>
    <w:rsid w:val="69567324"/>
    <w:rsid w:val="69970073"/>
    <w:rsid w:val="69B33D64"/>
    <w:rsid w:val="69E35E2E"/>
    <w:rsid w:val="6A3D6D70"/>
    <w:rsid w:val="6A764632"/>
    <w:rsid w:val="6A8F5AB3"/>
    <w:rsid w:val="6B146DBB"/>
    <w:rsid w:val="6B51027F"/>
    <w:rsid w:val="6B7216AE"/>
    <w:rsid w:val="6B975284"/>
    <w:rsid w:val="6BAD067B"/>
    <w:rsid w:val="6BF70BCC"/>
    <w:rsid w:val="6C1D7BEB"/>
    <w:rsid w:val="6C5A5A6D"/>
    <w:rsid w:val="6CB540F2"/>
    <w:rsid w:val="6CBA1BE7"/>
    <w:rsid w:val="6D0435F8"/>
    <w:rsid w:val="6D195B18"/>
    <w:rsid w:val="6D1A7968"/>
    <w:rsid w:val="6D2F71F6"/>
    <w:rsid w:val="6DA0701F"/>
    <w:rsid w:val="6DAE6E36"/>
    <w:rsid w:val="6DFF3D69"/>
    <w:rsid w:val="6E54677B"/>
    <w:rsid w:val="6E6004F2"/>
    <w:rsid w:val="6E632DE0"/>
    <w:rsid w:val="6E6711A3"/>
    <w:rsid w:val="6E9F7006"/>
    <w:rsid w:val="6EA232AD"/>
    <w:rsid w:val="6EE5207C"/>
    <w:rsid w:val="6EEF2173"/>
    <w:rsid w:val="6F09279C"/>
    <w:rsid w:val="6FAF1442"/>
    <w:rsid w:val="6FCE3789"/>
    <w:rsid w:val="6FEB2C4F"/>
    <w:rsid w:val="702B3A5D"/>
    <w:rsid w:val="70FB6942"/>
    <w:rsid w:val="711D6692"/>
    <w:rsid w:val="71411843"/>
    <w:rsid w:val="71472155"/>
    <w:rsid w:val="718843E3"/>
    <w:rsid w:val="71F52FD3"/>
    <w:rsid w:val="72504295"/>
    <w:rsid w:val="72761EF4"/>
    <w:rsid w:val="72BE3DBB"/>
    <w:rsid w:val="72E121D0"/>
    <w:rsid w:val="730A7984"/>
    <w:rsid w:val="733C6C07"/>
    <w:rsid w:val="7376125A"/>
    <w:rsid w:val="739666E4"/>
    <w:rsid w:val="73AD0F38"/>
    <w:rsid w:val="74065F4B"/>
    <w:rsid w:val="743D06D5"/>
    <w:rsid w:val="7442796E"/>
    <w:rsid w:val="7460690A"/>
    <w:rsid w:val="746B1046"/>
    <w:rsid w:val="747F6300"/>
    <w:rsid w:val="74DF0134"/>
    <w:rsid w:val="75264FB8"/>
    <w:rsid w:val="7529196A"/>
    <w:rsid w:val="753B0584"/>
    <w:rsid w:val="75513159"/>
    <w:rsid w:val="75725349"/>
    <w:rsid w:val="75741642"/>
    <w:rsid w:val="75EC159B"/>
    <w:rsid w:val="76134355"/>
    <w:rsid w:val="764A3684"/>
    <w:rsid w:val="76513AFF"/>
    <w:rsid w:val="766C27D1"/>
    <w:rsid w:val="771147F0"/>
    <w:rsid w:val="772324D8"/>
    <w:rsid w:val="77572114"/>
    <w:rsid w:val="77595F33"/>
    <w:rsid w:val="776444D5"/>
    <w:rsid w:val="77F00FA9"/>
    <w:rsid w:val="784903B4"/>
    <w:rsid w:val="789B1DCD"/>
    <w:rsid w:val="78AD2CA3"/>
    <w:rsid w:val="78C47558"/>
    <w:rsid w:val="78CF3981"/>
    <w:rsid w:val="78E1237D"/>
    <w:rsid w:val="78EB596B"/>
    <w:rsid w:val="79507382"/>
    <w:rsid w:val="795A5205"/>
    <w:rsid w:val="795F2FA9"/>
    <w:rsid w:val="79617BA4"/>
    <w:rsid w:val="79C936E0"/>
    <w:rsid w:val="79F6091D"/>
    <w:rsid w:val="7A0963C2"/>
    <w:rsid w:val="7A2B1906"/>
    <w:rsid w:val="7A602F8D"/>
    <w:rsid w:val="7A6B29F2"/>
    <w:rsid w:val="7A7B1BBB"/>
    <w:rsid w:val="7A7F2C28"/>
    <w:rsid w:val="7AA83914"/>
    <w:rsid w:val="7ABB2DDE"/>
    <w:rsid w:val="7B09220C"/>
    <w:rsid w:val="7B1A5A17"/>
    <w:rsid w:val="7C174418"/>
    <w:rsid w:val="7C797189"/>
    <w:rsid w:val="7C95612F"/>
    <w:rsid w:val="7CAA65BB"/>
    <w:rsid w:val="7CBD5A0B"/>
    <w:rsid w:val="7CD35AB8"/>
    <w:rsid w:val="7CFF235E"/>
    <w:rsid w:val="7D23702C"/>
    <w:rsid w:val="7D396B96"/>
    <w:rsid w:val="7D6513F2"/>
    <w:rsid w:val="7DC46F29"/>
    <w:rsid w:val="7DCA50F0"/>
    <w:rsid w:val="7DDA6779"/>
    <w:rsid w:val="7DE91E93"/>
    <w:rsid w:val="7E320E13"/>
    <w:rsid w:val="7E7408DC"/>
    <w:rsid w:val="7E943B7D"/>
    <w:rsid w:val="7EF173E1"/>
    <w:rsid w:val="7F18172A"/>
    <w:rsid w:val="7F604567"/>
    <w:rsid w:val="7FB6409D"/>
    <w:rsid w:val="7FE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3C576"/>
  <w15:docId w15:val="{59B5A771-6626-4C92-A2D3-A3DC66BC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Plain Text"/>
    <w:basedOn w:val="a"/>
    <w:semiHidden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paragraph" w:customStyle="1" w:styleId="a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LENOVO</cp:lastModifiedBy>
  <cp:revision>37</cp:revision>
  <dcterms:created xsi:type="dcterms:W3CDTF">2020-03-30T23:43:00Z</dcterms:created>
  <dcterms:modified xsi:type="dcterms:W3CDTF">2022-02-24T22:15:00Z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8139E70A6E094798AAC61BFA1BCB5E2A</vt:lpwstr>
  </property>
</Properties>
</file>