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Style w:val="11"/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</w:rPr>
        <w:t>成品定量包装称重检测</w:t>
      </w: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确定度评定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bCs/>
          <w:sz w:val="28"/>
          <w:szCs w:val="28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8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1.1测量过程名称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成品定量包装称重检测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1.2环境条件：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eastAsia="宋体" w:cs="Times New Roman"/>
          <w:sz w:val="24"/>
          <w:szCs w:val="24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出厂编号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20060914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电子台秤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测量范围（0-150）kg，最大允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许误差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±0.075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1.4被测对象：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成品定量包装称重检测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  <w:t>重量（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50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±0.5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kg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1.5</w:t>
      </w:r>
      <w:r>
        <w:rPr>
          <w:rFonts w:hint="default" w:ascii="Times New Roman" w:hAnsi="Times New Roman" w:eastAsia="宋体" w:cs="Times New Roman"/>
          <w:sz w:val="24"/>
          <w:szCs w:val="24"/>
        </w:rPr>
        <w:t>测量方法：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DK-ZYZD-01</w:t>
      </w:r>
      <w:r>
        <w:rPr>
          <w:rFonts w:hint="default" w:ascii="Times New Roman" w:hAnsi="Times New Roman" w:eastAsia="宋体" w:cs="Times New Roman"/>
          <w:sz w:val="24"/>
          <w:szCs w:val="24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定量包装产品称重检测过程作业指导书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的要求，首先开机及置零，按“开/关键”仪表进行自动99999-00000回零后便进入称量状态，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8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数学模型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式中：f－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重量的检测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电子台秤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输入量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不确定度评定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3.1输入量测量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重复性引入的标准不确定度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分量</w:t>
      </w:r>
      <m:oMath>
        <m:sSub>
          <m:sSubPr>
            <m:ctrlPr>
              <w:rPr>
                <w:rFonts w:hint="default" w:ascii="Cambria Math" w:hAnsi="Cambria Math" w:eastAsia="宋体" w:cs="Times New Roman"/>
                <w:b w:val="0"/>
                <w:bCs w:val="0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b w:val="0"/>
                <w:bCs w:val="0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b w:val="0"/>
                <w:bCs w:val="0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 w:val="0"/>
          <w:bCs w:val="0"/>
          <w:i w:val="0"/>
          <w:sz w:val="24"/>
          <w:szCs w:val="24"/>
          <w:lang w:eastAsia="zh-CN"/>
        </w:rPr>
        <w:t>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对</w:t>
      </w:r>
      <w:r>
        <w:rPr>
          <w:rFonts w:hint="default" w:ascii="Times New Roman" w:hAnsi="Times New Roman" w:eastAsia="宋体" w:cs="Times New Roman"/>
          <w:sz w:val="24"/>
          <w:szCs w:val="24"/>
        </w:rPr>
        <w:t>输入量测量重复性不确定度进行A类评定测量：在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电子台秤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正常工作状态下，同一组人，用同一台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</w:p>
    <w:p>
      <w:pPr>
        <w:spacing w:line="360" w:lineRule="auto"/>
        <w:ind w:firstLine="3120" w:firstLineChars="1300"/>
        <w:jc w:val="both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tbl>
      <w:tblPr>
        <w:tblStyle w:val="5"/>
        <w:tblpPr w:leftFromText="180" w:rightFromText="180" w:vertAnchor="text" w:horzAnchor="page" w:tblpX="2357" w:tblpY="179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d（kg）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50.05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50.10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d（kg）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50.15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50.05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50.05</w:t>
            </w:r>
          </w:p>
        </w:tc>
      </w:tr>
    </w:tbl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48" o:spt="75" alt="" type="#_x0000_t75" style="height:33pt;width:123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48" DrawAspect="Content" ObjectID="_1468075725" r:id="rId4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49" o:spt="75" alt="" type="#_x0000_t75" style="height:47pt;width:14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49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50" o:spt="75" type="#_x0000_t75" style="height:15pt;width: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50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51" o:spt="75" type="#_x0000_t75" style="height:15pt;width: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51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=s=0.05kg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电子台秤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±0.075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kg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按均匀分布，半宽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a=0.075kg，取包含因子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object>
          <v:shape id="_x0000_i1056" o:spt="75" type="#_x0000_t75" style="height:19pt;width:19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56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  <w:object>
          <v:shape id="_x0000_i1052" o:spt="75" alt="" type="#_x0000_t75" style="height:30pt;width:14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52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53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于下表2：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单位:kg</w:t>
      </w:r>
    </w:p>
    <w:tbl>
      <w:tblPr>
        <w:tblStyle w:val="5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777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77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0.043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合成标准不确定度：</w: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54" o:spt="75" alt="" type="#_x0000_t75" style="height:24pt;width:233.4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54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55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66kg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13kg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0.13kg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8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iCs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EF35D"/>
    <w:multiLevelType w:val="singleLevel"/>
    <w:tmpl w:val="DE1EF3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22"/>
    <w:rsid w:val="0000251A"/>
    <w:rsid w:val="000452D1"/>
    <w:rsid w:val="00047E9B"/>
    <w:rsid w:val="000661EB"/>
    <w:rsid w:val="00081656"/>
    <w:rsid w:val="000936BD"/>
    <w:rsid w:val="000B32D6"/>
    <w:rsid w:val="000D3C07"/>
    <w:rsid w:val="000F423B"/>
    <w:rsid w:val="00103897"/>
    <w:rsid w:val="001342C9"/>
    <w:rsid w:val="001459FC"/>
    <w:rsid w:val="00162EFE"/>
    <w:rsid w:val="00163A22"/>
    <w:rsid w:val="001A1100"/>
    <w:rsid w:val="00201F21"/>
    <w:rsid w:val="00205B2B"/>
    <w:rsid w:val="00251051"/>
    <w:rsid w:val="00256776"/>
    <w:rsid w:val="00277D89"/>
    <w:rsid w:val="002833D6"/>
    <w:rsid w:val="002A5F50"/>
    <w:rsid w:val="002B650F"/>
    <w:rsid w:val="002C3620"/>
    <w:rsid w:val="002C645F"/>
    <w:rsid w:val="002E40B3"/>
    <w:rsid w:val="00334B6F"/>
    <w:rsid w:val="0035142F"/>
    <w:rsid w:val="00354569"/>
    <w:rsid w:val="00377DA9"/>
    <w:rsid w:val="00380E22"/>
    <w:rsid w:val="003C161C"/>
    <w:rsid w:val="003D41B6"/>
    <w:rsid w:val="00420D2B"/>
    <w:rsid w:val="004261E4"/>
    <w:rsid w:val="00436711"/>
    <w:rsid w:val="00462797"/>
    <w:rsid w:val="0047607A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5D4521"/>
    <w:rsid w:val="00617C4B"/>
    <w:rsid w:val="00644054"/>
    <w:rsid w:val="006546F1"/>
    <w:rsid w:val="00671AD5"/>
    <w:rsid w:val="006969B2"/>
    <w:rsid w:val="006A0D7B"/>
    <w:rsid w:val="006A412C"/>
    <w:rsid w:val="006E55BE"/>
    <w:rsid w:val="0072325D"/>
    <w:rsid w:val="0073601F"/>
    <w:rsid w:val="0074122F"/>
    <w:rsid w:val="0076000A"/>
    <w:rsid w:val="007D6AB7"/>
    <w:rsid w:val="007D6D62"/>
    <w:rsid w:val="007E5416"/>
    <w:rsid w:val="007E5B2C"/>
    <w:rsid w:val="008219C1"/>
    <w:rsid w:val="00823182"/>
    <w:rsid w:val="00882B3B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7265C"/>
    <w:rsid w:val="00A75A36"/>
    <w:rsid w:val="00AC750C"/>
    <w:rsid w:val="00AD06BC"/>
    <w:rsid w:val="00AE62CD"/>
    <w:rsid w:val="00AF2122"/>
    <w:rsid w:val="00AF476F"/>
    <w:rsid w:val="00B07C41"/>
    <w:rsid w:val="00B15FC9"/>
    <w:rsid w:val="00B348EC"/>
    <w:rsid w:val="00B60326"/>
    <w:rsid w:val="00B654CB"/>
    <w:rsid w:val="00B84768"/>
    <w:rsid w:val="00BA3FEA"/>
    <w:rsid w:val="00BD051C"/>
    <w:rsid w:val="00BD61F0"/>
    <w:rsid w:val="00BE01DD"/>
    <w:rsid w:val="00BE282E"/>
    <w:rsid w:val="00C26DE4"/>
    <w:rsid w:val="00C54C4B"/>
    <w:rsid w:val="00C6652E"/>
    <w:rsid w:val="00CA0A84"/>
    <w:rsid w:val="00CA6B8C"/>
    <w:rsid w:val="00CB3895"/>
    <w:rsid w:val="00CB3D9A"/>
    <w:rsid w:val="00CB414C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C0420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F16DC"/>
    <w:rsid w:val="00EF7E82"/>
    <w:rsid w:val="00F34856"/>
    <w:rsid w:val="00F66BF3"/>
    <w:rsid w:val="00F77404"/>
    <w:rsid w:val="00F82F5C"/>
    <w:rsid w:val="00F90BC7"/>
    <w:rsid w:val="00FA6A92"/>
    <w:rsid w:val="015D0D5E"/>
    <w:rsid w:val="0168325F"/>
    <w:rsid w:val="019F5FCB"/>
    <w:rsid w:val="01F84B9F"/>
    <w:rsid w:val="02C26F6C"/>
    <w:rsid w:val="03031491"/>
    <w:rsid w:val="030E6EE6"/>
    <w:rsid w:val="03533084"/>
    <w:rsid w:val="035B5702"/>
    <w:rsid w:val="042A0CA0"/>
    <w:rsid w:val="044031CE"/>
    <w:rsid w:val="04804AAC"/>
    <w:rsid w:val="04F03C97"/>
    <w:rsid w:val="053040D0"/>
    <w:rsid w:val="056F1060"/>
    <w:rsid w:val="0607573C"/>
    <w:rsid w:val="064F071D"/>
    <w:rsid w:val="06500E91"/>
    <w:rsid w:val="069468A4"/>
    <w:rsid w:val="069F09A1"/>
    <w:rsid w:val="06FD1B49"/>
    <w:rsid w:val="0781560B"/>
    <w:rsid w:val="07BB6137"/>
    <w:rsid w:val="07EA08C8"/>
    <w:rsid w:val="07ED286B"/>
    <w:rsid w:val="084F28DE"/>
    <w:rsid w:val="087A716B"/>
    <w:rsid w:val="092D62F0"/>
    <w:rsid w:val="098C4883"/>
    <w:rsid w:val="09F14739"/>
    <w:rsid w:val="0A4007FF"/>
    <w:rsid w:val="0A8A732F"/>
    <w:rsid w:val="0B0C55A3"/>
    <w:rsid w:val="0B20678A"/>
    <w:rsid w:val="0B6B12B4"/>
    <w:rsid w:val="0B770B62"/>
    <w:rsid w:val="0BAE560B"/>
    <w:rsid w:val="0BB764E0"/>
    <w:rsid w:val="0BBC48D3"/>
    <w:rsid w:val="0C521CE0"/>
    <w:rsid w:val="0C7B0912"/>
    <w:rsid w:val="0CD30126"/>
    <w:rsid w:val="0CD97C60"/>
    <w:rsid w:val="0D2919B7"/>
    <w:rsid w:val="0D4B29C4"/>
    <w:rsid w:val="0D7754AA"/>
    <w:rsid w:val="0D906017"/>
    <w:rsid w:val="0E29266D"/>
    <w:rsid w:val="0E582439"/>
    <w:rsid w:val="0E87566C"/>
    <w:rsid w:val="0E8B5BE0"/>
    <w:rsid w:val="0F3F7243"/>
    <w:rsid w:val="10477289"/>
    <w:rsid w:val="10B658F3"/>
    <w:rsid w:val="10F1501F"/>
    <w:rsid w:val="112B3F10"/>
    <w:rsid w:val="11471BD6"/>
    <w:rsid w:val="115D0906"/>
    <w:rsid w:val="11965BC6"/>
    <w:rsid w:val="1232090B"/>
    <w:rsid w:val="13085987"/>
    <w:rsid w:val="136939DE"/>
    <w:rsid w:val="13A75E69"/>
    <w:rsid w:val="13A924B5"/>
    <w:rsid w:val="13DA2891"/>
    <w:rsid w:val="141B6E1E"/>
    <w:rsid w:val="1448764C"/>
    <w:rsid w:val="14904B4F"/>
    <w:rsid w:val="162A3D61"/>
    <w:rsid w:val="16351E52"/>
    <w:rsid w:val="16764936"/>
    <w:rsid w:val="169E170C"/>
    <w:rsid w:val="16A55FBE"/>
    <w:rsid w:val="170F26A3"/>
    <w:rsid w:val="176103F0"/>
    <w:rsid w:val="17B33D43"/>
    <w:rsid w:val="17D61EA2"/>
    <w:rsid w:val="17EB79B1"/>
    <w:rsid w:val="19030C65"/>
    <w:rsid w:val="194222A2"/>
    <w:rsid w:val="19B4308D"/>
    <w:rsid w:val="1A197394"/>
    <w:rsid w:val="1AB015C8"/>
    <w:rsid w:val="1ABD1841"/>
    <w:rsid w:val="1AD31C39"/>
    <w:rsid w:val="1AE654C9"/>
    <w:rsid w:val="1AFD7E70"/>
    <w:rsid w:val="1B4D52D2"/>
    <w:rsid w:val="1C116575"/>
    <w:rsid w:val="1C19367C"/>
    <w:rsid w:val="1C202C5C"/>
    <w:rsid w:val="1C5446B4"/>
    <w:rsid w:val="1D8E5B79"/>
    <w:rsid w:val="1DA67191"/>
    <w:rsid w:val="1E0D7210"/>
    <w:rsid w:val="1F2E6B9D"/>
    <w:rsid w:val="1FF05470"/>
    <w:rsid w:val="204B3261"/>
    <w:rsid w:val="206C6470"/>
    <w:rsid w:val="20D02F65"/>
    <w:rsid w:val="21472A39"/>
    <w:rsid w:val="217A4BBD"/>
    <w:rsid w:val="21FB1BED"/>
    <w:rsid w:val="2237485C"/>
    <w:rsid w:val="224F3E0C"/>
    <w:rsid w:val="226F3FF6"/>
    <w:rsid w:val="22AB6F85"/>
    <w:rsid w:val="22F55E2B"/>
    <w:rsid w:val="22FD77A4"/>
    <w:rsid w:val="23DC390D"/>
    <w:rsid w:val="24042E63"/>
    <w:rsid w:val="244514B2"/>
    <w:rsid w:val="24831FDA"/>
    <w:rsid w:val="24A54BEC"/>
    <w:rsid w:val="24C525F3"/>
    <w:rsid w:val="25470478"/>
    <w:rsid w:val="2584600A"/>
    <w:rsid w:val="26865DB2"/>
    <w:rsid w:val="27455C6D"/>
    <w:rsid w:val="282D423D"/>
    <w:rsid w:val="284275D7"/>
    <w:rsid w:val="28A32C4B"/>
    <w:rsid w:val="2AC93E8C"/>
    <w:rsid w:val="2B6C0EDF"/>
    <w:rsid w:val="2BAB58C0"/>
    <w:rsid w:val="2BFC6679"/>
    <w:rsid w:val="2C397BB6"/>
    <w:rsid w:val="2C4947B5"/>
    <w:rsid w:val="2CBB1859"/>
    <w:rsid w:val="2CBF167E"/>
    <w:rsid w:val="2DA76D39"/>
    <w:rsid w:val="2E981AFA"/>
    <w:rsid w:val="2EEB0EA8"/>
    <w:rsid w:val="2F2666CA"/>
    <w:rsid w:val="2F4132B9"/>
    <w:rsid w:val="30023755"/>
    <w:rsid w:val="305263C5"/>
    <w:rsid w:val="307849BD"/>
    <w:rsid w:val="31101099"/>
    <w:rsid w:val="31F938DC"/>
    <w:rsid w:val="323B3A17"/>
    <w:rsid w:val="325154C6"/>
    <w:rsid w:val="336856B9"/>
    <w:rsid w:val="34635C70"/>
    <w:rsid w:val="34983880"/>
    <w:rsid w:val="34C50E7F"/>
    <w:rsid w:val="34D919BF"/>
    <w:rsid w:val="354B26A0"/>
    <w:rsid w:val="35DC59EE"/>
    <w:rsid w:val="36541A6C"/>
    <w:rsid w:val="36866002"/>
    <w:rsid w:val="374742B5"/>
    <w:rsid w:val="375D203C"/>
    <w:rsid w:val="37A07217"/>
    <w:rsid w:val="38E03D6E"/>
    <w:rsid w:val="38F848ED"/>
    <w:rsid w:val="391F00CC"/>
    <w:rsid w:val="393A3157"/>
    <w:rsid w:val="3A045513"/>
    <w:rsid w:val="3A1E555F"/>
    <w:rsid w:val="3A6B10EF"/>
    <w:rsid w:val="3C8B7826"/>
    <w:rsid w:val="3D163786"/>
    <w:rsid w:val="3DB93C3A"/>
    <w:rsid w:val="3DF31B27"/>
    <w:rsid w:val="3DFD4754"/>
    <w:rsid w:val="3E166D70"/>
    <w:rsid w:val="3E69030B"/>
    <w:rsid w:val="3FBB6674"/>
    <w:rsid w:val="3FEE07F8"/>
    <w:rsid w:val="409F1AF2"/>
    <w:rsid w:val="40FC71FC"/>
    <w:rsid w:val="41F82483"/>
    <w:rsid w:val="42277FF1"/>
    <w:rsid w:val="424B0183"/>
    <w:rsid w:val="430F7A61"/>
    <w:rsid w:val="438E246E"/>
    <w:rsid w:val="43D84FD2"/>
    <w:rsid w:val="44231DF0"/>
    <w:rsid w:val="442774E2"/>
    <w:rsid w:val="444E7AB7"/>
    <w:rsid w:val="44633023"/>
    <w:rsid w:val="45812A47"/>
    <w:rsid w:val="461207DE"/>
    <w:rsid w:val="461D3BE5"/>
    <w:rsid w:val="46766E1E"/>
    <w:rsid w:val="469F284C"/>
    <w:rsid w:val="46C502B7"/>
    <w:rsid w:val="47862A44"/>
    <w:rsid w:val="47B73BC5"/>
    <w:rsid w:val="47B75973"/>
    <w:rsid w:val="47C00CCC"/>
    <w:rsid w:val="484A740F"/>
    <w:rsid w:val="4880373E"/>
    <w:rsid w:val="48EF6AB7"/>
    <w:rsid w:val="491931BC"/>
    <w:rsid w:val="4A537B51"/>
    <w:rsid w:val="4A5B1180"/>
    <w:rsid w:val="4A7A7858"/>
    <w:rsid w:val="4AAA5C06"/>
    <w:rsid w:val="4AB64608"/>
    <w:rsid w:val="4B856A0B"/>
    <w:rsid w:val="4BC0573E"/>
    <w:rsid w:val="4BCE772F"/>
    <w:rsid w:val="4C891FD4"/>
    <w:rsid w:val="4CCB1789"/>
    <w:rsid w:val="4D0B6137"/>
    <w:rsid w:val="4D6F6B81"/>
    <w:rsid w:val="4DA846DC"/>
    <w:rsid w:val="4DD0778F"/>
    <w:rsid w:val="4DE51C34"/>
    <w:rsid w:val="4E286A14"/>
    <w:rsid w:val="4E2B25D2"/>
    <w:rsid w:val="4E8C6358"/>
    <w:rsid w:val="4E9E7620"/>
    <w:rsid w:val="4EC76DE4"/>
    <w:rsid w:val="4F1A33B7"/>
    <w:rsid w:val="4FD847D1"/>
    <w:rsid w:val="511B5691"/>
    <w:rsid w:val="51387E01"/>
    <w:rsid w:val="528304AE"/>
    <w:rsid w:val="52BB22D8"/>
    <w:rsid w:val="52F537F4"/>
    <w:rsid w:val="5341644A"/>
    <w:rsid w:val="53CD08A3"/>
    <w:rsid w:val="540B32CF"/>
    <w:rsid w:val="54857525"/>
    <w:rsid w:val="54B17EFB"/>
    <w:rsid w:val="54E678D7"/>
    <w:rsid w:val="54F77CB6"/>
    <w:rsid w:val="55621614"/>
    <w:rsid w:val="56711DB8"/>
    <w:rsid w:val="567D7665"/>
    <w:rsid w:val="56C854A7"/>
    <w:rsid w:val="56FA7F8F"/>
    <w:rsid w:val="572F19CA"/>
    <w:rsid w:val="57BC2B32"/>
    <w:rsid w:val="58047FBA"/>
    <w:rsid w:val="59287935"/>
    <w:rsid w:val="59BD5983"/>
    <w:rsid w:val="5A536391"/>
    <w:rsid w:val="5BA02E12"/>
    <w:rsid w:val="5BA65A7A"/>
    <w:rsid w:val="5C246A7E"/>
    <w:rsid w:val="5C3B2BBF"/>
    <w:rsid w:val="5CD06198"/>
    <w:rsid w:val="5D8546AA"/>
    <w:rsid w:val="5E7E50C9"/>
    <w:rsid w:val="5E983B3E"/>
    <w:rsid w:val="5EB10BE3"/>
    <w:rsid w:val="5ECC3428"/>
    <w:rsid w:val="5F3A0F0C"/>
    <w:rsid w:val="5FE26F8F"/>
    <w:rsid w:val="608362D0"/>
    <w:rsid w:val="60E65654"/>
    <w:rsid w:val="611F100D"/>
    <w:rsid w:val="613144C8"/>
    <w:rsid w:val="616B7AA3"/>
    <w:rsid w:val="62D33B51"/>
    <w:rsid w:val="63224191"/>
    <w:rsid w:val="63302D52"/>
    <w:rsid w:val="633E5D73"/>
    <w:rsid w:val="639D545C"/>
    <w:rsid w:val="639E52BD"/>
    <w:rsid w:val="64BD4188"/>
    <w:rsid w:val="64CB7826"/>
    <w:rsid w:val="652E3287"/>
    <w:rsid w:val="65472239"/>
    <w:rsid w:val="65822FA6"/>
    <w:rsid w:val="65F411A4"/>
    <w:rsid w:val="66E4687E"/>
    <w:rsid w:val="67780823"/>
    <w:rsid w:val="67893D52"/>
    <w:rsid w:val="67B55CA0"/>
    <w:rsid w:val="67E66D31"/>
    <w:rsid w:val="68B91843"/>
    <w:rsid w:val="69567192"/>
    <w:rsid w:val="698107BC"/>
    <w:rsid w:val="698872E6"/>
    <w:rsid w:val="69B1626F"/>
    <w:rsid w:val="69B52F32"/>
    <w:rsid w:val="6AA7510B"/>
    <w:rsid w:val="6AF919F0"/>
    <w:rsid w:val="6B114CED"/>
    <w:rsid w:val="6B7942F9"/>
    <w:rsid w:val="6C101852"/>
    <w:rsid w:val="6C276CBC"/>
    <w:rsid w:val="6C735A5D"/>
    <w:rsid w:val="6C8E0AE9"/>
    <w:rsid w:val="6D646833"/>
    <w:rsid w:val="6DCD73EF"/>
    <w:rsid w:val="6E680AF4"/>
    <w:rsid w:val="6E8F40A5"/>
    <w:rsid w:val="6EBD310B"/>
    <w:rsid w:val="6EC24A7A"/>
    <w:rsid w:val="6F071E12"/>
    <w:rsid w:val="6F2804C3"/>
    <w:rsid w:val="6F2F210F"/>
    <w:rsid w:val="6F571666"/>
    <w:rsid w:val="70276D17"/>
    <w:rsid w:val="702C664F"/>
    <w:rsid w:val="70CB230C"/>
    <w:rsid w:val="70CC32C8"/>
    <w:rsid w:val="716342F2"/>
    <w:rsid w:val="722C1DB5"/>
    <w:rsid w:val="724335ED"/>
    <w:rsid w:val="73821344"/>
    <w:rsid w:val="75091C36"/>
    <w:rsid w:val="75411298"/>
    <w:rsid w:val="75B96BD7"/>
    <w:rsid w:val="75BF1D13"/>
    <w:rsid w:val="760A11E0"/>
    <w:rsid w:val="763D720A"/>
    <w:rsid w:val="76612DCA"/>
    <w:rsid w:val="76EB7E51"/>
    <w:rsid w:val="77674142"/>
    <w:rsid w:val="77D257ED"/>
    <w:rsid w:val="781255CB"/>
    <w:rsid w:val="7885138D"/>
    <w:rsid w:val="79187B3A"/>
    <w:rsid w:val="79B034B6"/>
    <w:rsid w:val="79B37DE1"/>
    <w:rsid w:val="79ED50A1"/>
    <w:rsid w:val="7A3740A0"/>
    <w:rsid w:val="7A610EBB"/>
    <w:rsid w:val="7A8D0632"/>
    <w:rsid w:val="7ADC2750"/>
    <w:rsid w:val="7B070C8A"/>
    <w:rsid w:val="7B4D79FA"/>
    <w:rsid w:val="7C4231F7"/>
    <w:rsid w:val="7CA659DB"/>
    <w:rsid w:val="7CA67789"/>
    <w:rsid w:val="7D58063B"/>
    <w:rsid w:val="7E056C61"/>
    <w:rsid w:val="7E130E4E"/>
    <w:rsid w:val="7F8C43D9"/>
    <w:rsid w:val="7F8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8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9">
    <w:name w:val="页脚 字符"/>
    <w:basedOn w:val="7"/>
    <w:link w:val="4"/>
    <w:qFormat/>
    <w:locked/>
    <w:uiPriority w:val="99"/>
    <w:rPr>
      <w:sz w:val="18"/>
    </w:rPr>
  </w:style>
  <w:style w:type="character" w:customStyle="1" w:styleId="10">
    <w:name w:val="页眉 字符"/>
    <w:basedOn w:val="7"/>
    <w:link w:val="2"/>
    <w:qFormat/>
    <w:locked/>
    <w:uiPriority w:val="99"/>
    <w:rPr>
      <w:sz w:val="18"/>
    </w:rPr>
  </w:style>
  <w:style w:type="character" w:customStyle="1" w:styleId="11">
    <w:name w:val="Font Style99"/>
    <w:qFormat/>
    <w:uiPriority w:val="99"/>
    <w:rPr>
      <w:rFonts w:ascii="黑体" w:eastAsia="黑体"/>
      <w:sz w:val="20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233</Words>
  <Characters>1331</Characters>
  <Lines>11</Lines>
  <Paragraphs>3</Paragraphs>
  <TotalTime>85</TotalTime>
  <ScaleCrop>false</ScaleCrop>
  <LinksUpToDate>false</LinksUpToDate>
  <CharactersWithSpaces>1561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2020-03-18T06:39:00Z</dcterms:created>
  <dc:creator>user</dc:creator>
  <cp:lastModifiedBy>金银铜铁</cp:lastModifiedBy>
  <cp:lastPrinted>2019-12-11T06:41:00Z</cp:lastPrinted>
  <dcterms:modified xsi:type="dcterms:W3CDTF">2022-04-04T13:36:16Z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ACC4B2B6A4A74555AC6498F9A6F8E07C</vt:lpwstr>
  </property>
</Properties>
</file>