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Cs/>
          <w:color w:val="000000"/>
          <w:sz w:val="36"/>
          <w:szCs w:val="36"/>
        </w:rPr>
      </w:pPr>
      <w:r>
        <w:rPr>
          <w:rFonts w:hint="eastAsia" w:ascii="宋体" w:hAnsi="宋体" w:eastAsia="宋体" w:cs="宋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07"/>
        <w:gridCol w:w="1128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407"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受审核部门：  </w:t>
            </w:r>
            <w:bookmarkStart w:id="0" w:name="组织名称"/>
            <w:r>
              <w:rPr>
                <w:rFonts w:hint="eastAsia" w:ascii="宋体" w:hAnsi="宋体" w:eastAsia="宋体" w:cs="宋体"/>
                <w:sz w:val="21"/>
                <w:szCs w:val="21"/>
              </w:rPr>
              <w:t>西安博瀚华源汽车科技有限公司</w:t>
            </w:r>
            <w:bookmarkEnd w:id="0"/>
            <w:r>
              <w:rPr>
                <w:rFonts w:hint="eastAsia" w:ascii="宋体" w:hAnsi="宋体" w:eastAsia="宋体" w:cs="宋体"/>
                <w:sz w:val="21"/>
                <w:szCs w:val="21"/>
              </w:rPr>
              <w:t xml:space="preserve">  管理层 总经理：</w:t>
            </w:r>
            <w:r>
              <w:rPr>
                <w:rFonts w:hint="eastAsia" w:ascii="宋体" w:hAnsi="宋体" w:eastAsia="宋体" w:cs="宋体"/>
                <w:sz w:val="21"/>
                <w:szCs w:val="21"/>
                <w:lang w:val="en-US" w:eastAsia="zh-CN"/>
              </w:rPr>
              <w:t>余云波</w:t>
            </w:r>
            <w:r>
              <w:rPr>
                <w:rFonts w:hint="eastAsia" w:ascii="宋体" w:hAnsi="宋体" w:eastAsia="宋体" w:cs="宋体"/>
                <w:sz w:val="21"/>
                <w:szCs w:val="21"/>
              </w:rPr>
              <w:t xml:space="preserve">      陪同人员：</w:t>
            </w:r>
            <w:bookmarkStart w:id="1" w:name="联系人"/>
            <w:r>
              <w:rPr>
                <w:rFonts w:hint="eastAsia" w:ascii="宋体" w:hAnsi="宋体" w:eastAsia="宋体" w:cs="宋体"/>
                <w:sz w:val="21"/>
                <w:szCs w:val="21"/>
              </w:rPr>
              <w:t>秦喜梅</w:t>
            </w:r>
            <w:bookmarkEnd w:id="1"/>
          </w:p>
        </w:tc>
        <w:tc>
          <w:tcPr>
            <w:tcW w:w="753"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0" w:type="dxa"/>
            <w:vMerge w:val="continue"/>
            <w:vAlign w:val="center"/>
          </w:tcPr>
          <w:p>
            <w:pPr>
              <w:spacing w:line="360" w:lineRule="auto"/>
              <w:rPr>
                <w:rFonts w:hint="eastAsia" w:ascii="宋体" w:hAnsi="宋体" w:eastAsia="宋体" w:cs="宋体"/>
                <w:sz w:val="21"/>
                <w:szCs w:val="21"/>
              </w:rPr>
            </w:pPr>
          </w:p>
        </w:tc>
        <w:tc>
          <w:tcPr>
            <w:tcW w:w="1407" w:type="dxa"/>
            <w:vMerge w:val="continue"/>
            <w:vAlign w:val="center"/>
          </w:tcPr>
          <w:p>
            <w:pPr>
              <w:spacing w:line="360" w:lineRule="auto"/>
              <w:rPr>
                <w:rFonts w:hint="eastAsia" w:ascii="宋体" w:hAnsi="宋体" w:eastAsia="宋体" w:cs="宋体"/>
                <w:sz w:val="21"/>
                <w:szCs w:val="21"/>
              </w:rPr>
            </w:pPr>
          </w:p>
        </w:tc>
        <w:tc>
          <w:tcPr>
            <w:tcW w:w="11289" w:type="dxa"/>
            <w:vAlign w:val="center"/>
          </w:tcPr>
          <w:p>
            <w:pPr>
              <w:spacing w:before="120" w:line="360" w:lineRule="auto"/>
              <w:rPr>
                <w:rFonts w:hint="eastAsia" w:ascii="宋体" w:hAnsi="宋体" w:eastAsia="宋体" w:cs="宋体"/>
                <w:sz w:val="21"/>
                <w:szCs w:val="21"/>
                <w:lang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郭力、赵亚亚</w:t>
            </w:r>
            <w:r>
              <w:rPr>
                <w:rFonts w:hint="eastAsia" w:ascii="宋体" w:hAnsi="宋体" w:eastAsia="宋体" w:cs="宋体"/>
                <w:sz w:val="21"/>
                <w:szCs w:val="21"/>
              </w:rPr>
              <w:t xml:space="preserve">     审核时间：</w:t>
            </w:r>
            <w:r>
              <w:rPr>
                <w:rFonts w:hint="eastAsia" w:ascii="宋体" w:hAnsi="宋体" w:eastAsia="宋体" w:cs="宋体"/>
                <w:sz w:val="21"/>
                <w:szCs w:val="21"/>
                <w:lang w:eastAsia="zh-CN"/>
              </w:rPr>
              <w:t>202</w:t>
            </w:r>
            <w:r>
              <w:rPr>
                <w:rFonts w:hint="eastAsia" w:ascii="宋体" w:hAnsi="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cs="宋体"/>
                <w:sz w:val="21"/>
                <w:szCs w:val="21"/>
                <w:lang w:val="en-US" w:eastAsia="zh-CN"/>
              </w:rPr>
              <w:t>3</w:t>
            </w:r>
            <w:r>
              <w:rPr>
                <w:rFonts w:hint="eastAsia" w:ascii="宋体" w:hAnsi="宋体" w:eastAsia="宋体" w:cs="宋体"/>
                <w:sz w:val="21"/>
                <w:szCs w:val="21"/>
                <w:lang w:eastAsia="zh-CN"/>
              </w:rPr>
              <w:t>月</w:t>
            </w:r>
            <w:r>
              <w:rPr>
                <w:rFonts w:hint="eastAsia" w:ascii="宋体" w:hAnsi="宋体" w:cs="宋体"/>
                <w:sz w:val="21"/>
                <w:szCs w:val="21"/>
                <w:lang w:val="en-US" w:eastAsia="zh-CN"/>
              </w:rPr>
              <w:t>1</w:t>
            </w:r>
            <w:r>
              <w:rPr>
                <w:rFonts w:hint="eastAsia" w:ascii="宋体" w:hAnsi="宋体" w:eastAsia="宋体" w:cs="宋体"/>
                <w:sz w:val="21"/>
                <w:szCs w:val="21"/>
                <w:lang w:eastAsia="zh-CN"/>
              </w:rPr>
              <w:t>日</w:t>
            </w:r>
          </w:p>
        </w:tc>
        <w:tc>
          <w:tcPr>
            <w:tcW w:w="753"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60" w:type="dxa"/>
            <w:vMerge w:val="continue"/>
            <w:vAlign w:val="center"/>
          </w:tcPr>
          <w:p>
            <w:pPr>
              <w:spacing w:line="360" w:lineRule="auto"/>
              <w:rPr>
                <w:rFonts w:hint="eastAsia" w:ascii="宋体" w:hAnsi="宋体" w:eastAsia="宋体" w:cs="宋体"/>
                <w:sz w:val="21"/>
                <w:szCs w:val="21"/>
              </w:rPr>
            </w:pPr>
          </w:p>
        </w:tc>
        <w:tc>
          <w:tcPr>
            <w:tcW w:w="1407" w:type="dxa"/>
            <w:vMerge w:val="continue"/>
            <w:vAlign w:val="center"/>
          </w:tcPr>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审核条款：Q:4.1</w:t>
            </w:r>
            <w:r>
              <w:rPr>
                <w:rFonts w:hint="eastAsia" w:ascii="宋体" w:hAnsi="宋体" w:cs="宋体"/>
                <w:sz w:val="21"/>
                <w:szCs w:val="21"/>
                <w:lang w:eastAsia="zh-CN"/>
              </w:rPr>
              <w:t>、</w:t>
            </w:r>
            <w:r>
              <w:rPr>
                <w:rFonts w:hint="eastAsia" w:ascii="宋体" w:hAnsi="宋体" w:eastAsia="宋体" w:cs="宋体"/>
                <w:sz w:val="21"/>
                <w:szCs w:val="21"/>
              </w:rPr>
              <w:t>4.2</w:t>
            </w:r>
            <w:r>
              <w:rPr>
                <w:rFonts w:hint="eastAsia" w:ascii="宋体" w:hAnsi="宋体" w:cs="宋体"/>
                <w:sz w:val="21"/>
                <w:szCs w:val="21"/>
                <w:lang w:eastAsia="zh-CN"/>
              </w:rPr>
              <w:t>、</w:t>
            </w:r>
            <w:r>
              <w:rPr>
                <w:rFonts w:hint="eastAsia" w:ascii="宋体" w:hAnsi="宋体" w:eastAsia="宋体" w:cs="宋体"/>
                <w:sz w:val="21"/>
                <w:szCs w:val="21"/>
              </w:rPr>
              <w:t>4.3</w:t>
            </w:r>
            <w:r>
              <w:rPr>
                <w:rFonts w:hint="eastAsia" w:ascii="宋体" w:hAnsi="宋体" w:cs="宋体"/>
                <w:sz w:val="21"/>
                <w:szCs w:val="21"/>
                <w:lang w:eastAsia="zh-CN"/>
              </w:rPr>
              <w:t>、</w:t>
            </w:r>
            <w:r>
              <w:rPr>
                <w:rFonts w:hint="eastAsia" w:ascii="宋体" w:hAnsi="宋体" w:eastAsia="宋体" w:cs="宋体"/>
                <w:sz w:val="21"/>
                <w:szCs w:val="21"/>
              </w:rPr>
              <w:t>4.4</w:t>
            </w:r>
            <w:r>
              <w:rPr>
                <w:rFonts w:hint="eastAsia" w:ascii="宋体" w:hAnsi="宋体" w:cs="宋体"/>
                <w:sz w:val="21"/>
                <w:szCs w:val="21"/>
                <w:lang w:eastAsia="zh-CN"/>
              </w:rPr>
              <w:t>、</w:t>
            </w:r>
            <w:r>
              <w:rPr>
                <w:rFonts w:hint="eastAsia" w:ascii="宋体" w:hAnsi="宋体" w:eastAsia="宋体" w:cs="宋体"/>
                <w:sz w:val="21"/>
                <w:szCs w:val="21"/>
              </w:rPr>
              <w:t>5.1</w:t>
            </w:r>
            <w:r>
              <w:rPr>
                <w:rFonts w:hint="eastAsia" w:ascii="宋体" w:hAnsi="宋体" w:cs="宋体"/>
                <w:sz w:val="21"/>
                <w:szCs w:val="21"/>
                <w:lang w:eastAsia="zh-CN"/>
              </w:rPr>
              <w:t>、</w:t>
            </w:r>
            <w:r>
              <w:rPr>
                <w:rFonts w:hint="eastAsia" w:ascii="宋体" w:hAnsi="宋体" w:eastAsia="宋体" w:cs="宋体"/>
                <w:sz w:val="21"/>
                <w:szCs w:val="21"/>
              </w:rPr>
              <w:t>5.2</w:t>
            </w:r>
            <w:r>
              <w:rPr>
                <w:rFonts w:hint="eastAsia" w:ascii="宋体" w:hAnsi="宋体" w:cs="宋体"/>
                <w:sz w:val="21"/>
                <w:szCs w:val="21"/>
                <w:lang w:eastAsia="zh-CN"/>
              </w:rPr>
              <w:t>、</w:t>
            </w:r>
            <w:r>
              <w:rPr>
                <w:rFonts w:hint="eastAsia" w:ascii="宋体" w:hAnsi="宋体" w:eastAsia="宋体" w:cs="宋体"/>
                <w:sz w:val="21"/>
                <w:szCs w:val="21"/>
              </w:rPr>
              <w:t>5.3</w:t>
            </w:r>
            <w:r>
              <w:rPr>
                <w:rFonts w:hint="eastAsia" w:ascii="宋体" w:hAnsi="宋体" w:cs="宋体"/>
                <w:sz w:val="21"/>
                <w:szCs w:val="21"/>
                <w:lang w:eastAsia="zh-CN"/>
              </w:rPr>
              <w:t>、</w:t>
            </w:r>
            <w:r>
              <w:rPr>
                <w:rFonts w:hint="eastAsia" w:ascii="宋体" w:hAnsi="宋体" w:eastAsia="宋体" w:cs="宋体"/>
                <w:sz w:val="21"/>
                <w:szCs w:val="21"/>
              </w:rPr>
              <w:t>6.1</w:t>
            </w:r>
            <w:r>
              <w:rPr>
                <w:rFonts w:hint="eastAsia" w:ascii="宋体" w:hAnsi="宋体" w:cs="宋体"/>
                <w:sz w:val="21"/>
                <w:szCs w:val="21"/>
                <w:lang w:eastAsia="zh-CN"/>
              </w:rPr>
              <w:t>、</w:t>
            </w:r>
            <w:r>
              <w:rPr>
                <w:rFonts w:hint="eastAsia" w:ascii="宋体" w:hAnsi="宋体" w:eastAsia="宋体" w:cs="宋体"/>
                <w:sz w:val="21"/>
                <w:szCs w:val="21"/>
              </w:rPr>
              <w:t>6.2</w:t>
            </w:r>
            <w:r>
              <w:rPr>
                <w:rFonts w:hint="eastAsia" w:ascii="宋体" w:hAnsi="宋体" w:cs="宋体"/>
                <w:sz w:val="21"/>
                <w:szCs w:val="21"/>
                <w:lang w:eastAsia="zh-CN"/>
              </w:rPr>
              <w:t>、</w:t>
            </w:r>
            <w:r>
              <w:rPr>
                <w:rFonts w:hint="eastAsia" w:ascii="宋体" w:hAnsi="宋体" w:eastAsia="宋体" w:cs="宋体"/>
                <w:sz w:val="21"/>
                <w:szCs w:val="21"/>
              </w:rPr>
              <w:t>6.3</w:t>
            </w:r>
            <w:r>
              <w:rPr>
                <w:rFonts w:hint="eastAsia" w:ascii="宋体" w:hAnsi="宋体" w:cs="宋体"/>
                <w:sz w:val="21"/>
                <w:szCs w:val="21"/>
                <w:lang w:eastAsia="zh-CN"/>
              </w:rPr>
              <w:t>、</w:t>
            </w:r>
            <w:r>
              <w:rPr>
                <w:rFonts w:hint="eastAsia" w:ascii="宋体" w:hAnsi="宋体" w:eastAsia="宋体" w:cs="宋体"/>
                <w:sz w:val="21"/>
                <w:szCs w:val="21"/>
              </w:rPr>
              <w:t>7.1.1</w:t>
            </w:r>
            <w:r>
              <w:rPr>
                <w:rFonts w:hint="eastAsia" w:ascii="宋体" w:hAnsi="宋体" w:cs="宋体"/>
                <w:sz w:val="21"/>
                <w:szCs w:val="21"/>
                <w:lang w:eastAsia="zh-CN"/>
              </w:rPr>
              <w:t>、</w:t>
            </w:r>
            <w:r>
              <w:rPr>
                <w:rFonts w:hint="eastAsia" w:ascii="宋体" w:hAnsi="宋体" w:eastAsia="宋体" w:cs="宋体"/>
                <w:sz w:val="21"/>
                <w:szCs w:val="21"/>
              </w:rPr>
              <w:t>9.1.1</w:t>
            </w:r>
            <w:r>
              <w:rPr>
                <w:rFonts w:hint="eastAsia" w:ascii="宋体" w:hAnsi="宋体" w:cs="宋体"/>
                <w:sz w:val="21"/>
                <w:szCs w:val="21"/>
                <w:lang w:eastAsia="zh-CN"/>
              </w:rPr>
              <w:t>、</w:t>
            </w:r>
            <w:r>
              <w:rPr>
                <w:rFonts w:hint="eastAsia" w:ascii="宋体" w:hAnsi="宋体" w:eastAsia="宋体" w:cs="宋体"/>
                <w:sz w:val="21"/>
                <w:szCs w:val="21"/>
              </w:rPr>
              <w:t>9.3</w:t>
            </w:r>
            <w:r>
              <w:rPr>
                <w:rFonts w:hint="eastAsia" w:ascii="宋体" w:hAnsi="宋体" w:cs="宋体"/>
                <w:sz w:val="21"/>
                <w:szCs w:val="21"/>
                <w:lang w:eastAsia="zh-CN"/>
              </w:rPr>
              <w:t>、</w:t>
            </w:r>
            <w:r>
              <w:rPr>
                <w:rFonts w:hint="eastAsia" w:ascii="宋体" w:hAnsi="宋体" w:eastAsia="宋体" w:cs="宋体"/>
                <w:sz w:val="21"/>
                <w:szCs w:val="21"/>
              </w:rPr>
              <w:t>10.1</w:t>
            </w:r>
            <w:r>
              <w:rPr>
                <w:rFonts w:hint="eastAsia" w:ascii="宋体" w:hAnsi="宋体" w:cs="宋体"/>
                <w:sz w:val="21"/>
                <w:szCs w:val="21"/>
                <w:lang w:eastAsia="zh-CN"/>
              </w:rPr>
              <w:t>、</w:t>
            </w:r>
            <w:r>
              <w:rPr>
                <w:rFonts w:hint="eastAsia" w:ascii="宋体" w:hAnsi="宋体" w:eastAsia="宋体" w:cs="宋体"/>
                <w:sz w:val="21"/>
                <w:szCs w:val="21"/>
              </w:rPr>
              <w:t xml:space="preserve">10.3 </w:t>
            </w:r>
          </w:p>
          <w:p>
            <w:pPr>
              <w:spacing w:line="360" w:lineRule="auto"/>
              <w:rPr>
                <w:rFonts w:hint="eastAsia" w:ascii="宋体" w:hAnsi="宋体" w:eastAsia="宋体" w:cs="宋体"/>
                <w:sz w:val="21"/>
                <w:szCs w:val="21"/>
              </w:rPr>
            </w:pPr>
            <w:r>
              <w:rPr>
                <w:rFonts w:hint="eastAsia" w:ascii="宋体" w:hAnsi="宋体" w:eastAsia="宋体" w:cs="宋体"/>
                <w:sz w:val="21"/>
                <w:szCs w:val="21"/>
              </w:rPr>
              <w:t>资质验证/范围再确认/</w:t>
            </w:r>
            <w:r>
              <w:rPr>
                <w:rFonts w:hint="eastAsia" w:ascii="宋体" w:hAnsi="宋体" w:cs="宋体"/>
                <w:sz w:val="21"/>
                <w:szCs w:val="21"/>
                <w:lang w:val="en-US" w:eastAsia="zh-CN"/>
              </w:rPr>
              <w:t>上次</w:t>
            </w:r>
            <w:r>
              <w:rPr>
                <w:rFonts w:hint="eastAsia" w:ascii="宋体" w:hAnsi="宋体" w:eastAsia="宋体" w:cs="宋体"/>
                <w:sz w:val="21"/>
                <w:szCs w:val="21"/>
                <w:lang w:val="en-US" w:eastAsia="zh-CN"/>
              </w:rPr>
              <w:t>审核</w:t>
            </w:r>
            <w:r>
              <w:rPr>
                <w:rFonts w:hint="eastAsia" w:ascii="宋体" w:hAnsi="宋体" w:eastAsia="宋体" w:cs="宋体"/>
                <w:sz w:val="21"/>
                <w:szCs w:val="21"/>
              </w:rPr>
              <w:t>问题验证/</w:t>
            </w:r>
            <w:r>
              <w:rPr>
                <w:rFonts w:hint="eastAsia" w:ascii="宋体" w:hAnsi="宋体"/>
                <w:color w:val="000000" w:themeColor="text1"/>
                <w:szCs w:val="21"/>
                <w:lang w:val="en-US" w:eastAsia="zh-CN"/>
              </w:rPr>
              <w:t>证书标识使用情况/</w:t>
            </w:r>
            <w:r>
              <w:rPr>
                <w:rFonts w:hint="eastAsia" w:ascii="宋体" w:hAnsi="宋体" w:eastAsia="宋体" w:cs="宋体"/>
                <w:sz w:val="21"/>
                <w:szCs w:val="21"/>
              </w:rPr>
              <w:t>投诉或事故/政府主管部门监督抽查情况</w:t>
            </w:r>
          </w:p>
        </w:tc>
        <w:tc>
          <w:tcPr>
            <w:tcW w:w="753"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资质</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范围再确认</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上次</w:t>
            </w:r>
            <w:r>
              <w:rPr>
                <w:rFonts w:hint="eastAsia" w:ascii="宋体" w:hAnsi="宋体" w:eastAsia="宋体" w:cs="宋体"/>
                <w:sz w:val="21"/>
                <w:szCs w:val="21"/>
                <w:lang w:val="en-US" w:eastAsia="zh-CN"/>
              </w:rPr>
              <w:t>审核</w:t>
            </w:r>
            <w:r>
              <w:rPr>
                <w:rFonts w:hint="eastAsia" w:ascii="宋体" w:hAnsi="宋体" w:eastAsia="宋体" w:cs="宋体"/>
                <w:sz w:val="21"/>
                <w:szCs w:val="21"/>
              </w:rPr>
              <w:t>问题验证</w:t>
            </w:r>
            <w:r>
              <w:rPr>
                <w:rFonts w:hint="eastAsia" w:ascii="宋体" w:hAnsi="宋体" w:cs="宋体"/>
                <w:sz w:val="21"/>
                <w:szCs w:val="21"/>
                <w:lang w:val="en-US" w:eastAsia="zh-CN"/>
              </w:rPr>
              <w:t>/</w:t>
            </w:r>
            <w:r>
              <w:rPr>
                <w:rFonts w:hint="eastAsia" w:ascii="宋体" w:hAnsi="宋体"/>
                <w:color w:val="000000" w:themeColor="text1"/>
                <w:szCs w:val="21"/>
                <w:lang w:val="en-US" w:eastAsia="zh-CN"/>
              </w:rPr>
              <w:t>证书标识使用情况</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投诉或事故/政府主管部门监督抽查情况</w:t>
            </w:r>
          </w:p>
        </w:tc>
        <w:tc>
          <w:tcPr>
            <w:tcW w:w="1407" w:type="dxa"/>
            <w:vAlign w:val="center"/>
          </w:tcPr>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营业执照：西安博瀚华源汽车科技有限公司 </w:t>
            </w:r>
            <w:bookmarkStart w:id="3" w:name="_GoBack"/>
            <w:bookmarkEnd w:id="3"/>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统一社会信用代码：</w:t>
            </w:r>
            <w:r>
              <w:rPr>
                <w:rFonts w:hint="eastAsia" w:ascii="宋体" w:hAnsi="宋体" w:eastAsia="宋体" w:cs="宋体"/>
                <w:color w:val="000000"/>
                <w:sz w:val="21"/>
                <w:szCs w:val="21"/>
                <w:lang w:val="en-US" w:eastAsia="zh-CN"/>
              </w:rPr>
              <w:t>91610131099628788X</w:t>
            </w:r>
          </w:p>
          <w:p>
            <w:pPr>
              <w:spacing w:line="360" w:lineRule="auto"/>
              <w:rPr>
                <w:rFonts w:hint="eastAsia" w:ascii="宋体" w:hAnsi="宋体" w:eastAsia="宋体" w:cs="宋体"/>
                <w:sz w:val="21"/>
                <w:szCs w:val="21"/>
              </w:rPr>
            </w:pPr>
            <w:r>
              <w:rPr>
                <w:rFonts w:hint="eastAsia" w:ascii="宋体" w:hAnsi="宋体" w:eastAsia="宋体" w:cs="宋体"/>
                <w:sz w:val="21"/>
                <w:szCs w:val="21"/>
              </w:rPr>
              <w:t>成立日期：201</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    有效期：长期</w:t>
            </w:r>
          </w:p>
          <w:p>
            <w:pPr>
              <w:spacing w:line="360" w:lineRule="auto"/>
              <w:rPr>
                <w:rFonts w:hint="eastAsia" w:ascii="宋体" w:hAnsi="宋体" w:eastAsia="宋体" w:cs="宋体"/>
                <w:sz w:val="21"/>
                <w:szCs w:val="21"/>
              </w:rPr>
            </w:pPr>
            <w:r>
              <w:rPr>
                <w:rFonts w:hint="eastAsia" w:ascii="宋体" w:hAnsi="宋体" w:eastAsia="宋体" w:cs="宋体"/>
                <w:sz w:val="21"/>
                <w:szCs w:val="21"/>
              </w:rPr>
              <w:t>认证范围在经营范围内。</w:t>
            </w:r>
          </w:p>
          <w:p>
            <w:pPr>
              <w:spacing w:line="360" w:lineRule="auto"/>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spacing w:line="360" w:lineRule="auto"/>
              <w:rPr>
                <w:rFonts w:hint="eastAsia" w:ascii="宋体" w:hAnsi="宋体" w:eastAsia="宋体" w:cs="宋体"/>
                <w:b/>
                <w:color w:val="000000"/>
                <w:sz w:val="21"/>
                <w:szCs w:val="21"/>
                <w:u w:val="single"/>
                <w:lang w:val="en-GB"/>
              </w:rPr>
            </w:pPr>
            <w:r>
              <w:rPr>
                <w:rFonts w:hint="eastAsia" w:ascii="宋体" w:hAnsi="宋体" w:eastAsia="宋体" w:cs="宋体"/>
                <w:sz w:val="21"/>
                <w:szCs w:val="21"/>
              </w:rPr>
              <w:t>QMS:</w:t>
            </w:r>
            <w:r>
              <w:rPr>
                <w:rFonts w:hint="eastAsia" w:ascii="宋体" w:hAnsi="宋体" w:eastAsia="宋体" w:cs="宋体"/>
                <w:kern w:val="0"/>
                <w:sz w:val="21"/>
                <w:szCs w:val="21"/>
              </w:rPr>
              <w:t xml:space="preserve"> </w:t>
            </w:r>
            <w:bookmarkStart w:id="2" w:name="审核范围"/>
            <w:r>
              <w:rPr>
                <w:rFonts w:hint="eastAsia" w:ascii="宋体" w:hAnsi="宋体" w:eastAsia="宋体" w:cs="宋体"/>
                <w:sz w:val="21"/>
                <w:szCs w:val="21"/>
              </w:rPr>
              <w:t>汽车配件的销售</w:t>
            </w:r>
            <w:bookmarkEnd w:id="2"/>
          </w:p>
          <w:p>
            <w:pPr>
              <w:spacing w:line="360" w:lineRule="auto"/>
              <w:rPr>
                <w:rFonts w:hint="eastAsia" w:ascii="宋体" w:hAnsi="宋体" w:eastAsia="宋体" w:cs="宋体"/>
                <w:sz w:val="21"/>
                <w:szCs w:val="21"/>
              </w:rPr>
            </w:pPr>
            <w:r>
              <w:rPr>
                <w:rFonts w:hint="eastAsia" w:ascii="宋体" w:hAnsi="宋体" w:eastAsia="宋体" w:cs="宋体"/>
                <w:sz w:val="21"/>
                <w:szCs w:val="21"/>
              </w:rPr>
              <w:t>查企业基本信息与初审没变化</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上次审核未发现问题</w:t>
            </w:r>
          </w:p>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与管理者代表沟通，企业上年度未在产品中使用标志，在投标文件中正确使用了质量管理体系证书，能够符合要求。</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投诉或事故:无</w:t>
            </w:r>
          </w:p>
          <w:p>
            <w:pPr>
              <w:spacing w:line="360" w:lineRule="auto"/>
              <w:rPr>
                <w:rFonts w:hint="eastAsia" w:ascii="宋体" w:hAnsi="宋体" w:eastAsia="宋体" w:cs="宋体"/>
                <w:sz w:val="21"/>
                <w:szCs w:val="21"/>
              </w:rPr>
            </w:pPr>
            <w:r>
              <w:rPr>
                <w:rFonts w:hint="eastAsia" w:ascii="宋体" w:hAnsi="宋体" w:eastAsia="宋体" w:cs="宋体"/>
                <w:sz w:val="21"/>
                <w:szCs w:val="21"/>
              </w:rPr>
              <w:t>政府主管部门监督抽查情况:无</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理解组织及其环境</w:t>
            </w:r>
          </w:p>
          <w:p>
            <w:pPr>
              <w:spacing w:line="360" w:lineRule="auto"/>
              <w:rPr>
                <w:rFonts w:hint="eastAsia" w:ascii="宋体" w:hAnsi="宋体" w:eastAsia="宋体" w:cs="宋体"/>
                <w:sz w:val="21"/>
                <w:szCs w:val="21"/>
              </w:rPr>
            </w:pPr>
            <w:r>
              <w:rPr>
                <w:rFonts w:hint="eastAsia" w:ascii="宋体" w:hAnsi="宋体" w:eastAsia="宋体" w:cs="宋体"/>
                <w:sz w:val="21"/>
                <w:szCs w:val="21"/>
              </w:rPr>
              <w:t>总要求</w:t>
            </w:r>
          </w:p>
          <w:p>
            <w:pPr>
              <w:spacing w:line="360" w:lineRule="auto"/>
              <w:rPr>
                <w:rFonts w:hint="eastAsia" w:ascii="宋体" w:hAnsi="宋体" w:eastAsia="宋体" w:cs="宋体"/>
                <w:sz w:val="21"/>
                <w:szCs w:val="21"/>
              </w:rPr>
            </w:pPr>
          </w:p>
        </w:tc>
        <w:tc>
          <w:tcPr>
            <w:tcW w:w="140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Q4.1</w:t>
            </w:r>
          </w:p>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西安博瀚华源汽车科技有限公司成立于201</w:t>
            </w:r>
            <w:r>
              <w:rPr>
                <w:rFonts w:hint="eastAsia" w:ascii="宋体" w:hAnsi="宋体" w:eastAsia="宋体" w:cs="宋体"/>
                <w:bCs/>
                <w:sz w:val="21"/>
                <w:szCs w:val="21"/>
                <w:lang w:val="en-US" w:eastAsia="zh-CN"/>
              </w:rPr>
              <w:t>4</w:t>
            </w:r>
            <w:r>
              <w:rPr>
                <w:rFonts w:hint="eastAsia" w:ascii="宋体" w:hAnsi="宋体" w:eastAsia="宋体" w:cs="宋体"/>
                <w:bCs/>
                <w:sz w:val="21"/>
                <w:szCs w:val="21"/>
              </w:rPr>
              <w:t>年，主要经营：汽车零部件的销售。</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Q4.2</w:t>
            </w:r>
          </w:p>
        </w:tc>
        <w:tc>
          <w:tcPr>
            <w:tcW w:w="11289"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在公司运营过程中充分考虑相关方方面的期望或要求，识别的相关方有：员工、法律法规和监管机构、顾客、供方和</w:t>
            </w:r>
            <w:r>
              <w:rPr>
                <w:rFonts w:hint="eastAsia" w:ascii="宋体" w:hAnsi="宋体" w:eastAsia="宋体" w:cs="宋体"/>
                <w:sz w:val="21"/>
                <w:szCs w:val="21"/>
                <w:lang w:val="en-US" w:eastAsia="zh-CN"/>
              </w:rPr>
              <w:t>汽车配件</w:t>
            </w:r>
            <w:r>
              <w:rPr>
                <w:rFonts w:hint="eastAsia" w:ascii="宋体" w:hAnsi="宋体" w:eastAsia="宋体" w:cs="宋体"/>
                <w:sz w:val="21"/>
                <w:szCs w:val="21"/>
              </w:rPr>
              <w:t>的销售现场周边居民等。销售部门和相关职能部门通过日常例会、市场活动、现场拜访、产品展销会、客户调查等多种渠道和方式方法随时了解相关方的需求和期望。做为公司经营风险分析和发展机遇的可利用资源。</w:t>
            </w:r>
          </w:p>
          <w:p>
            <w:pPr>
              <w:spacing w:line="360" w:lineRule="auto"/>
              <w:rPr>
                <w:rFonts w:hint="eastAsia" w:ascii="宋体" w:hAnsi="宋体" w:eastAsia="宋体" w:cs="宋体"/>
                <w:sz w:val="21"/>
                <w:szCs w:val="21"/>
              </w:rPr>
            </w:pPr>
            <w:r>
              <w:rPr>
                <w:rFonts w:hint="eastAsia" w:ascii="宋体" w:hAnsi="宋体" w:eastAsia="宋体" w:cs="宋体"/>
                <w:sz w:val="21"/>
                <w:szCs w:val="21"/>
              </w:rPr>
              <w:t>与公司高管交流，内外部相关方需求分析到位，未形成很好的书面材料。口头交流。</w:t>
            </w:r>
          </w:p>
          <w:p>
            <w:pPr>
              <w:spacing w:line="360" w:lineRule="auto"/>
              <w:rPr>
                <w:rFonts w:hint="eastAsia" w:ascii="宋体" w:hAnsi="宋体" w:eastAsia="宋体" w:cs="宋体"/>
                <w:sz w:val="21"/>
                <w:szCs w:val="21"/>
              </w:rPr>
            </w:pPr>
            <w:r>
              <w:rPr>
                <w:rFonts w:hint="eastAsia" w:ascii="宋体" w:hAnsi="宋体" w:eastAsia="宋体" w:cs="宋体"/>
                <w:sz w:val="21"/>
                <w:szCs w:val="21"/>
              </w:rPr>
              <w:t>内外部环境要素识别与评估：在每年的管理评审前，由相关部门负责人进行识别并评估其适宜性。以便于持续满足相关方的需求和期望。</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确定量管理体系的范围</w:t>
            </w:r>
          </w:p>
          <w:p>
            <w:pPr>
              <w:spacing w:line="360" w:lineRule="auto"/>
              <w:rPr>
                <w:rFonts w:hint="eastAsia" w:ascii="宋体" w:hAnsi="宋体" w:eastAsia="宋体" w:cs="宋体"/>
                <w:sz w:val="21"/>
                <w:szCs w:val="21"/>
              </w:rPr>
            </w:pPr>
            <w:r>
              <w:rPr>
                <w:rFonts w:hint="eastAsia" w:ascii="宋体" w:hAnsi="宋体" w:eastAsia="宋体" w:cs="宋体"/>
                <w:sz w:val="21"/>
                <w:szCs w:val="21"/>
              </w:rPr>
              <w:t>总要求</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Q4.3</w:t>
            </w:r>
          </w:p>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公司管理体系范围：</w:t>
            </w:r>
          </w:p>
          <w:p>
            <w:pPr>
              <w:spacing w:line="360" w:lineRule="auto"/>
              <w:rPr>
                <w:rFonts w:hint="eastAsia" w:ascii="宋体" w:hAnsi="宋体" w:eastAsia="宋体" w:cs="宋体"/>
                <w:sz w:val="21"/>
                <w:szCs w:val="21"/>
              </w:rPr>
            </w:pPr>
            <w:r>
              <w:rPr>
                <w:rFonts w:hint="eastAsia" w:ascii="宋体" w:hAnsi="宋体" w:eastAsia="宋体" w:cs="宋体"/>
                <w:sz w:val="21"/>
                <w:szCs w:val="21"/>
              </w:rPr>
              <w:t>QMS:汽车配件的销售</w:t>
            </w:r>
            <w:r>
              <w:rPr>
                <w:rFonts w:hint="eastAsia" w:ascii="宋体" w:hAnsi="宋体" w:eastAsia="宋体" w:cs="宋体"/>
                <w:sz w:val="21"/>
                <w:szCs w:val="21"/>
                <w:lang w:eastAsia="zh-CN"/>
              </w:rPr>
              <w:t>，</w:t>
            </w:r>
            <w:r>
              <w:rPr>
                <w:rFonts w:hint="eastAsia" w:ascii="宋体" w:hAnsi="宋体" w:eastAsia="宋体" w:cs="宋体"/>
                <w:sz w:val="21"/>
                <w:szCs w:val="21"/>
              </w:rPr>
              <w:t>不适用条款:</w:t>
            </w:r>
            <w:r>
              <w:rPr>
                <w:rFonts w:hint="eastAsia" w:ascii="宋体" w:hAnsi="宋体" w:eastAsia="宋体" w:cs="宋体"/>
                <w:sz w:val="21"/>
                <w:szCs w:val="21"/>
                <w:lang w:eastAsia="zh-CN"/>
              </w:rPr>
              <w:t>（</w:t>
            </w:r>
            <w:r>
              <w:rPr>
                <w:rFonts w:hint="eastAsia" w:ascii="宋体" w:hAnsi="宋体" w:eastAsia="宋体" w:cs="宋体"/>
                <w:sz w:val="21"/>
                <w:szCs w:val="21"/>
              </w:rPr>
              <w:t>8.3</w:t>
            </w:r>
            <w:r>
              <w:rPr>
                <w:rFonts w:hint="eastAsia" w:ascii="宋体" w:hAnsi="宋体" w:eastAsia="宋体" w:cs="宋体"/>
                <w:kern w:val="0"/>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对于企业的外包过程也进行了充分识别，公司无外包过程。</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管理体系及其过程</w:t>
            </w:r>
          </w:p>
          <w:p>
            <w:pPr>
              <w:spacing w:line="360" w:lineRule="auto"/>
              <w:rPr>
                <w:rFonts w:hint="eastAsia" w:ascii="宋体" w:hAnsi="宋体" w:eastAsia="宋体" w:cs="宋体"/>
                <w:sz w:val="21"/>
                <w:szCs w:val="21"/>
              </w:rPr>
            </w:pP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Q4.4</w:t>
            </w:r>
          </w:p>
        </w:tc>
        <w:tc>
          <w:tcPr>
            <w:tcW w:w="11289" w:type="dxa"/>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组织于201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月1日建立并正式实施</w:t>
            </w:r>
            <w:r>
              <w:rPr>
                <w:rFonts w:hint="eastAsia" w:ascii="宋体" w:hAnsi="宋体" w:eastAsia="宋体" w:cs="宋体"/>
                <w:sz w:val="21"/>
                <w:szCs w:val="21"/>
                <w:lang w:val="en-US" w:eastAsia="zh-CN"/>
              </w:rPr>
              <w:t>质量</w:t>
            </w:r>
            <w:r>
              <w:rPr>
                <w:rFonts w:hint="eastAsia" w:ascii="宋体" w:hAnsi="宋体" w:eastAsia="宋体" w:cs="宋体"/>
                <w:sz w:val="21"/>
                <w:szCs w:val="21"/>
              </w:rPr>
              <w:t>管理体系。同时根据自身的实际情况和标准的要求组织工作人员编制了管理手册、作业文件和记录表格，制定了管理方针和管理目标。通过对过程监测结果进行分析，公司管理体系不断改进。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确定了管理体系所需的过程，如文件与记录管理过程、合同评审过程、研发过程、销售过程等，并明确各过程的目标和职责，及各过程之间的衔接和影响。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出示有“部门管理目标策划记录”对管理目标完成情况进行检查、统计、记录。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提供了支持过程策划和运行的形成文件的信息。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体系从建立至今运行良好，没有变化</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总则</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Q5.1.1</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以顾客为关注焦点</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Q5.1.2</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公司通过投标、市场调研等方式了解顾客的需求，确定他们关心的产品特性，特别是产品的关键特性。在确定顾客的需求和期望时，公司同时考虑与产品有关的义务（</w:t>
            </w:r>
            <w:r>
              <w:rPr>
                <w:rFonts w:hint="eastAsia" w:ascii="宋体" w:hAnsi="宋体" w:eastAsia="宋体" w:cs="宋体"/>
                <w:sz w:val="21"/>
                <w:szCs w:val="21"/>
                <w:lang w:val="en-US" w:eastAsia="zh-CN"/>
              </w:rPr>
              <w:t>质量</w:t>
            </w:r>
            <w:r>
              <w:rPr>
                <w:rFonts w:hint="eastAsia" w:ascii="宋体" w:hAnsi="宋体" w:eastAsia="宋体" w:cs="宋体"/>
                <w:sz w:val="21"/>
                <w:szCs w:val="21"/>
              </w:rPr>
              <w:t>要求等）和法律法规要求，并采取措施，使其得到落实。确定和应对能够影响产品、服务符合性以及增强顾客满意能力的风险和机遇；确定、理解并持续满足顾客要求以及适用的法律法规要求；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公司策划，通过定期对顾客满意度进行测量、售后服务了解顾客对产品的意见，增强顾客满意。</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制定管理方针</w:t>
            </w:r>
          </w:p>
          <w:p>
            <w:pPr>
              <w:spacing w:line="360" w:lineRule="auto"/>
              <w:rPr>
                <w:rFonts w:hint="eastAsia" w:ascii="宋体" w:hAnsi="宋体" w:eastAsia="宋体" w:cs="宋体"/>
                <w:sz w:val="21"/>
                <w:szCs w:val="21"/>
              </w:rPr>
            </w:pPr>
            <w:r>
              <w:rPr>
                <w:rFonts w:hint="eastAsia" w:ascii="宋体" w:hAnsi="宋体" w:eastAsia="宋体" w:cs="宋体"/>
                <w:sz w:val="21"/>
                <w:szCs w:val="21"/>
              </w:rPr>
              <w:t>沟通质量方针</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Q5.2</w:t>
            </w:r>
          </w:p>
          <w:p>
            <w:pPr>
              <w:spacing w:line="360" w:lineRule="auto"/>
              <w:rPr>
                <w:rFonts w:hint="eastAsia" w:ascii="宋体" w:hAnsi="宋体" w:eastAsia="宋体" w:cs="宋体"/>
                <w:sz w:val="21"/>
                <w:szCs w:val="21"/>
              </w:rPr>
            </w:pPr>
          </w:p>
        </w:tc>
        <w:tc>
          <w:tcPr>
            <w:tcW w:w="11289" w:type="dxa"/>
            <w:vAlign w:val="center"/>
          </w:tcPr>
          <w:p>
            <w:pPr>
              <w:autoSpaceDE w:val="0"/>
              <w:autoSpaceDN w:val="0"/>
              <w:adjustRightIn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公司的</w:t>
            </w:r>
            <w:r>
              <w:rPr>
                <w:rFonts w:hint="eastAsia" w:ascii="宋体" w:hAnsi="宋体" w:eastAsia="宋体" w:cs="宋体"/>
                <w:sz w:val="21"/>
                <w:szCs w:val="21"/>
                <w:lang w:val="en-US" w:eastAsia="zh-CN"/>
              </w:rPr>
              <w:t>质量</w:t>
            </w:r>
            <w:r>
              <w:rPr>
                <w:rFonts w:hint="eastAsia" w:ascii="宋体" w:hAnsi="宋体" w:eastAsia="宋体" w:cs="宋体"/>
                <w:sz w:val="21"/>
                <w:szCs w:val="21"/>
              </w:rPr>
              <w:t>方针是</w:t>
            </w:r>
            <w:r>
              <w:rPr>
                <w:rFonts w:hint="eastAsia" w:ascii="宋体" w:hAnsi="宋体" w:eastAsia="宋体" w:cs="宋体"/>
                <w:b w:val="0"/>
                <w:bCs/>
                <w:sz w:val="21"/>
                <w:szCs w:val="21"/>
              </w:rPr>
              <w:t>科学管理，诚信服务，确保顾客满意；以人为本，持续改进，促进公司发展。</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公司通过各种宣传方式，将</w:t>
            </w:r>
            <w:r>
              <w:rPr>
                <w:rFonts w:hint="eastAsia" w:ascii="宋体" w:hAnsi="宋体" w:eastAsia="宋体" w:cs="宋体"/>
                <w:sz w:val="21"/>
                <w:szCs w:val="21"/>
                <w:lang w:val="en-US" w:eastAsia="zh-CN"/>
              </w:rPr>
              <w:t>质量</w:t>
            </w:r>
            <w:r>
              <w:rPr>
                <w:rFonts w:hint="eastAsia" w:ascii="宋体" w:hAnsi="宋体" w:eastAsia="宋体" w:cs="宋体"/>
                <w:sz w:val="21"/>
                <w:szCs w:val="21"/>
              </w:rPr>
              <w:t>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经查，质量管理方针没有变化。</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Q5.3</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公司设置了完善的组织结构，并规定了各级各岗位人员职责、权限和相互关系，编制</w:t>
            </w:r>
            <w:r>
              <w:rPr>
                <w:rFonts w:hint="eastAsia" w:ascii="宋体" w:hAnsi="宋体" w:eastAsia="宋体" w:cs="宋体"/>
                <w:sz w:val="21"/>
                <w:szCs w:val="21"/>
                <w:lang w:val="zh-CN"/>
              </w:rPr>
              <w:t>BHHY-CX</w:t>
            </w:r>
            <w:r>
              <w:rPr>
                <w:rFonts w:hint="eastAsia" w:ascii="宋体" w:hAnsi="宋体" w:eastAsia="宋体" w:cs="宋体"/>
                <w:sz w:val="21"/>
                <w:szCs w:val="21"/>
              </w:rPr>
              <w:t>《能力、意识、培训控制程序》和《岗位描述书》，规定了控制要求并在公司内对各级员工进行了必要的传达。对从事与质量、环境、安全有关的管理、执行和验证人员规定其职责、权限及其相互关系，并书面化，以实现公司管理方针和管理目标。有效进行管理体系各项活动，出示了公司管理体系职能分配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经全体员工大会选举，任命公司</w:t>
            </w:r>
            <w:r>
              <w:rPr>
                <w:rFonts w:hint="eastAsia" w:ascii="宋体" w:hAnsi="宋体" w:eastAsia="宋体" w:cs="宋体"/>
                <w:bCs/>
                <w:sz w:val="21"/>
                <w:szCs w:val="21"/>
                <w:lang w:val="en-US" w:eastAsia="zh-CN"/>
              </w:rPr>
              <w:t>皮振文</w:t>
            </w:r>
            <w:r>
              <w:rPr>
                <w:rFonts w:hint="eastAsia" w:ascii="宋体" w:hAnsi="宋体" w:eastAsia="宋体" w:cs="宋体"/>
                <w:sz w:val="21"/>
                <w:szCs w:val="21"/>
              </w:rPr>
              <w:t>，为公司管理者代表。 与</w:t>
            </w:r>
            <w:r>
              <w:rPr>
                <w:rFonts w:hint="eastAsia" w:ascii="宋体" w:hAnsi="宋体" w:eastAsia="宋体" w:cs="宋体"/>
                <w:bCs/>
                <w:sz w:val="21"/>
                <w:szCs w:val="21"/>
                <w:lang w:val="en-US" w:eastAsia="zh-CN"/>
              </w:rPr>
              <w:t>皮振文</w:t>
            </w:r>
            <w:r>
              <w:rPr>
                <w:rFonts w:hint="eastAsia" w:ascii="宋体" w:hAnsi="宋体" w:eastAsia="宋体" w:cs="宋体"/>
                <w:sz w:val="21"/>
                <w:szCs w:val="21"/>
              </w:rPr>
              <w:t>交</w:t>
            </w:r>
            <w:r>
              <w:rPr>
                <w:rFonts w:hint="eastAsia" w:ascii="宋体" w:hAnsi="宋体" w:eastAsia="宋体" w:cs="宋体"/>
                <w:sz w:val="21"/>
                <w:szCs w:val="21"/>
                <w:lang w:val="en-GB"/>
              </w:rPr>
              <w:t>谈，</w:t>
            </w:r>
            <w:r>
              <w:rPr>
                <w:rFonts w:hint="eastAsia" w:ascii="宋体" w:hAnsi="宋体" w:eastAsia="宋体" w:cs="宋体"/>
                <w:sz w:val="21"/>
                <w:szCs w:val="21"/>
              </w:rPr>
              <w:t>其清楚自己的职责：负责向管理层反映</w:t>
            </w:r>
            <w:r>
              <w:rPr>
                <w:rFonts w:hint="eastAsia" w:ascii="宋体" w:hAnsi="宋体" w:eastAsia="宋体" w:cs="宋体"/>
                <w:sz w:val="21"/>
                <w:szCs w:val="21"/>
                <w:lang w:val="en-US" w:eastAsia="zh-CN"/>
              </w:rPr>
              <w:t>质量</w:t>
            </w:r>
            <w:r>
              <w:rPr>
                <w:rFonts w:hint="eastAsia" w:ascii="宋体" w:hAnsi="宋体" w:eastAsia="宋体" w:cs="宋体"/>
                <w:sz w:val="21"/>
                <w:szCs w:val="21"/>
              </w:rPr>
              <w:t>管理方面的要求，对</w:t>
            </w:r>
            <w:r>
              <w:rPr>
                <w:rFonts w:hint="eastAsia" w:ascii="宋体" w:hAnsi="宋体" w:eastAsia="宋体" w:cs="宋体"/>
                <w:sz w:val="21"/>
                <w:szCs w:val="21"/>
                <w:lang w:val="en-US" w:eastAsia="zh-CN"/>
              </w:rPr>
              <w:t>质量</w:t>
            </w:r>
            <w:r>
              <w:rPr>
                <w:rFonts w:hint="eastAsia" w:ascii="宋体" w:hAnsi="宋体" w:eastAsia="宋体" w:cs="宋体"/>
                <w:sz w:val="21"/>
                <w:szCs w:val="21"/>
              </w:rPr>
              <w:t>事件的调查、处理，参与</w:t>
            </w:r>
            <w:r>
              <w:rPr>
                <w:rFonts w:hint="eastAsia" w:ascii="宋体" w:hAnsi="宋体" w:eastAsia="宋体" w:cs="宋体"/>
                <w:sz w:val="21"/>
                <w:szCs w:val="21"/>
                <w:lang w:val="en-US" w:eastAsia="zh-CN"/>
              </w:rPr>
              <w:t>质量管理</w:t>
            </w:r>
            <w:r>
              <w:rPr>
                <w:rFonts w:hint="eastAsia" w:ascii="宋体" w:hAnsi="宋体" w:eastAsia="宋体" w:cs="宋体"/>
                <w:sz w:val="21"/>
                <w:szCs w:val="21"/>
              </w:rPr>
              <w:t>方针、目标、指标、管理方案的制定工作，提出合理化建议。</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风险和机遇应对措施及策划</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Q6.1</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提供“风险与机遇评价与应对策划表”，按照销售服务、采购、支持过程/部门对风险和机遇进行了评价识别，并制定应对措施。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采取措施是：制定并严格执行合同会签制度，各部门主管负责人及总经理审阅同意后才能签署盖章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每月按照合同、协议对账时间及时对账，催款，回款，降低资金风险。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要提前制定好采购计划和拓展采购的渠道，保证供应。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公司提供财务支持，对主要供应商的优质产品保持价格优势，促进有序采购；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及时获取顾客要求，对供货商进行严格资质评定，</w:t>
            </w:r>
            <w:r>
              <w:rPr>
                <w:rFonts w:hint="eastAsia" w:ascii="宋体" w:hAnsi="宋体" w:eastAsia="宋体" w:cs="宋体"/>
                <w:color w:val="000000" w:themeColor="text1"/>
                <w:sz w:val="21"/>
                <w:szCs w:val="21"/>
                <w:lang w:val="en-US" w:eastAsia="zh-CN"/>
              </w:rPr>
              <w:t>识</w:t>
            </w:r>
            <w:r>
              <w:rPr>
                <w:rFonts w:hint="eastAsia" w:ascii="宋体" w:hAnsi="宋体" w:eastAsia="宋体" w:cs="宋体"/>
                <w:color w:val="000000" w:themeColor="text1"/>
                <w:sz w:val="21"/>
                <w:szCs w:val="21"/>
              </w:rPr>
              <w:t>别人：</w:t>
            </w:r>
            <w:r>
              <w:rPr>
                <w:rFonts w:hint="eastAsia" w:ascii="宋体" w:hAnsi="宋体" w:eastAsia="宋体" w:cs="宋体"/>
                <w:sz w:val="21"/>
                <w:szCs w:val="21"/>
                <w:lang w:val="en-US" w:eastAsia="zh-CN"/>
              </w:rPr>
              <w:t>陈雅棋</w:t>
            </w:r>
            <w:r>
              <w:rPr>
                <w:rFonts w:hint="eastAsia" w:ascii="宋体" w:hAnsi="宋体" w:eastAsia="宋体" w:cs="宋体"/>
                <w:color w:val="000000" w:themeColor="text1"/>
                <w:sz w:val="21"/>
                <w:szCs w:val="21"/>
              </w:rPr>
              <w:t xml:space="preserve"> 20</w:t>
            </w:r>
            <w:r>
              <w:rPr>
                <w:rFonts w:hint="eastAsia" w:ascii="宋体" w:hAnsi="宋体" w:cs="宋体"/>
                <w:color w:val="000000" w:themeColor="text1"/>
                <w:sz w:val="21"/>
                <w:szCs w:val="21"/>
                <w:lang w:val="en-US" w:eastAsia="zh-CN"/>
              </w:rPr>
              <w:t>20</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val="en-US" w:eastAsia="zh-CN"/>
              </w:rPr>
              <w:t>1</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val="en-US" w:eastAsia="zh-CN"/>
              </w:rPr>
              <w:t>5</w:t>
            </w:r>
            <w:r>
              <w:rPr>
                <w:rFonts w:hint="eastAsia" w:ascii="宋体" w:hAnsi="宋体" w:eastAsia="宋体" w:cs="宋体"/>
                <w:color w:val="000000" w:themeColor="text1"/>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风险机遇识别基本充分，应对风险和机遇的措施基本适宜。</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公司运行平稳，风机、机遇识别较初审没变化</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管理目标及其实现的策划</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Q6.2</w:t>
            </w:r>
          </w:p>
          <w:p>
            <w:pPr>
              <w:spacing w:line="360" w:lineRule="auto"/>
              <w:rPr>
                <w:rFonts w:hint="eastAsia" w:ascii="宋体" w:hAnsi="宋体" w:eastAsia="宋体" w:cs="宋体"/>
                <w:sz w:val="21"/>
                <w:szCs w:val="21"/>
              </w:rPr>
            </w:pP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总经理负责组织制定公司的管理目标，并在公司各部门进行分解，制定时考虑了公司的质量过程及其风险和机遇。</w:t>
            </w:r>
          </w:p>
          <w:p>
            <w:pPr>
              <w:autoSpaceDE w:val="0"/>
              <w:autoSpaceDN w:val="0"/>
              <w:adjustRightInd w:val="0"/>
              <w:spacing w:line="360" w:lineRule="auto"/>
              <w:rPr>
                <w:rFonts w:hint="eastAsia" w:ascii="宋体" w:hAnsi="宋体" w:eastAsia="宋体" w:cs="宋体"/>
                <w:b w:val="0"/>
                <w:bCs w:val="0"/>
                <w:color w:val="000000"/>
                <w:sz w:val="21"/>
                <w:szCs w:val="21"/>
              </w:rPr>
            </w:pPr>
            <w:r>
              <w:rPr>
                <w:rFonts w:hint="eastAsia" w:ascii="宋体" w:hAnsi="宋体" w:eastAsia="宋体" w:cs="宋体"/>
                <w:sz w:val="21"/>
                <w:szCs w:val="21"/>
              </w:rPr>
              <w:t xml:space="preserve">公司质量目标：  </w:t>
            </w:r>
            <w:r>
              <w:rPr>
                <w:rFonts w:hint="eastAsia" w:ascii="宋体" w:hAnsi="宋体" w:eastAsia="宋体" w:cs="宋体"/>
                <w:b w:val="0"/>
                <w:bCs w:val="0"/>
                <w:sz w:val="21"/>
                <w:szCs w:val="21"/>
              </w:rPr>
              <w:t>1、销售产品合格率100%；2、发货时间准确率100%.3、顾客满意率95%以上</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提供《目标指标和管理方案》《目标指标和管理方案考核表》</w:t>
            </w:r>
          </w:p>
          <w:p>
            <w:pPr>
              <w:spacing w:line="360" w:lineRule="auto"/>
              <w:rPr>
                <w:rFonts w:hint="eastAsia" w:ascii="宋体" w:hAnsi="宋体" w:eastAsia="宋体" w:cs="宋体"/>
                <w:sz w:val="21"/>
                <w:szCs w:val="21"/>
              </w:rPr>
            </w:pPr>
            <w:r>
              <w:rPr>
                <w:rFonts w:hint="eastAsia" w:ascii="宋体" w:hAnsi="宋体" w:eastAsia="宋体" w:cs="宋体"/>
                <w:sz w:val="21"/>
                <w:szCs w:val="21"/>
              </w:rPr>
              <w:t>以上目标指标均已完成，管理方案规定了措施方法、完成时间表、责任人、资金等情况。详见各部门记录。</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变更的策划</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Q6.3</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企业有充分识别识别潜在的变更需求，并确保在必要时做出相应的变更。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体系运行平稳，至今没有发生变更。</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资源-总则</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公司根据经营运行需要，配备了各岗位所需人员、经营用房屋、生产设备、办公设备（电脑、打印机等）、消防器材、劳动防护用品。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经营运行资金等资源，体系建立至今，未发生资源不足影响满足客户要求的现象.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办公面积约</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0</w:t>
            </w:r>
            <w:r>
              <w:rPr>
                <w:rFonts w:hint="eastAsia" w:ascii="宋体" w:hAnsi="宋体" w:eastAsia="宋体" w:cs="宋体"/>
                <w:sz w:val="21"/>
                <w:szCs w:val="21"/>
              </w:rPr>
              <w:t>平米，、打印机、电脑、复印机等配备齐全。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仓库面积约</w:t>
            </w:r>
            <w:r>
              <w:rPr>
                <w:rFonts w:hint="eastAsia" w:ascii="宋体" w:hAnsi="宋体" w:cs="宋体"/>
                <w:sz w:val="21"/>
                <w:szCs w:val="21"/>
                <w:lang w:val="en-US" w:eastAsia="zh-CN"/>
              </w:rPr>
              <w:t>1</w:t>
            </w:r>
            <w:r>
              <w:rPr>
                <w:rFonts w:hint="eastAsia" w:ascii="宋体" w:hAnsi="宋体" w:eastAsia="宋体" w:cs="宋体"/>
                <w:sz w:val="21"/>
                <w:szCs w:val="21"/>
              </w:rPr>
              <w:t>00平米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位置在公司办公室边侧，仓库内进货材料和销售产品按规格型号整齐摆放，内有消防栓和灭火器，对采购的材料只对外观和数量进行验收，手续齐全，无需检测设备。符合要求。</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绩效测量和监视</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Q9.1.1</w:t>
            </w:r>
          </w:p>
          <w:p>
            <w:pPr>
              <w:spacing w:line="360" w:lineRule="auto"/>
              <w:rPr>
                <w:rFonts w:hint="eastAsia" w:ascii="宋体" w:hAnsi="宋体" w:eastAsia="宋体" w:cs="宋体"/>
                <w:sz w:val="21"/>
                <w:szCs w:val="21"/>
              </w:rPr>
            </w:pP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val="en-US" w:eastAsia="zh-CN"/>
              </w:rPr>
              <w:t>提供</w:t>
            </w:r>
            <w:r>
              <w:rPr>
                <w:rFonts w:hint="eastAsia" w:ascii="宋体" w:hAnsi="宋体" w:eastAsia="宋体" w:cs="宋体"/>
                <w:sz w:val="21"/>
                <w:szCs w:val="21"/>
              </w:rPr>
              <w:t>《顾客满意度控制程序》，对销售服务的质量特性进行监视和测量，以验证其符合要求的程度，确保服务符合要求。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val="en-US" w:eastAsia="zh-CN"/>
              </w:rPr>
              <w:t>提供</w:t>
            </w:r>
            <w:r>
              <w:rPr>
                <w:rFonts w:hint="eastAsia" w:ascii="宋体" w:hAnsi="宋体" w:eastAsia="宋体" w:cs="宋体"/>
                <w:sz w:val="21"/>
                <w:szCs w:val="21"/>
              </w:rPr>
              <w:t>《内部审核控制程序》 、《管理评审控制程序》 和《数据分析控制程序》为保证公司质量管理体系的有效运行，通过对管理绩效的监视与测量，确保体系运行的有效性。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查阅“部门质量目标策划及考核记录表”，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提供管理目标指标的检查考核工作，均完成目标考核要求。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目前未发现公司出现违规现象。无被动性绩效的监视和测量。</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40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Q9.3</w:t>
            </w: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公司依据：GB/T19001-2016标准进行管理评审。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目前按标准要求平稳运行，至今暂无变更情况发生。</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查阅公司管理评审资料：</w:t>
            </w:r>
          </w:p>
          <w:p>
            <w:pPr>
              <w:spacing w:line="360" w:lineRule="auto"/>
              <w:rPr>
                <w:rFonts w:hint="eastAsia" w:ascii="宋体" w:hAnsi="宋体" w:eastAsia="宋体" w:cs="宋体"/>
                <w:sz w:val="21"/>
                <w:szCs w:val="21"/>
              </w:rPr>
            </w:pPr>
            <w:r>
              <w:rPr>
                <w:rFonts w:hint="eastAsia" w:ascii="宋体" w:hAnsi="宋体" w:eastAsia="宋体" w:cs="宋体"/>
                <w:sz w:val="21"/>
                <w:szCs w:val="21"/>
              </w:rPr>
              <w:t>一、管理评审计划，评审时间：20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8</w:t>
            </w:r>
            <w:r>
              <w:rPr>
                <w:rFonts w:hint="eastAsia" w:ascii="宋体" w:hAnsi="宋体" w:eastAsia="宋体" w:cs="宋体"/>
                <w:sz w:val="21"/>
                <w:szCs w:val="21"/>
              </w:rPr>
              <w:t>日评审方式：会议评审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参加人员：总经理</w:t>
            </w:r>
            <w:r>
              <w:rPr>
                <w:rFonts w:hint="eastAsia" w:ascii="宋体" w:hAnsi="宋体" w:eastAsia="宋体" w:cs="宋体"/>
                <w:sz w:val="21"/>
                <w:szCs w:val="21"/>
                <w:lang w:val="en-US" w:eastAsia="zh-CN"/>
              </w:rPr>
              <w:t>余云波</w:t>
            </w:r>
            <w:r>
              <w:rPr>
                <w:rFonts w:hint="eastAsia" w:ascii="宋体" w:hAnsi="宋体" w:eastAsia="宋体" w:cs="宋体"/>
                <w:sz w:val="21"/>
                <w:szCs w:val="21"/>
              </w:rPr>
              <w:t>、管理者代表</w:t>
            </w:r>
            <w:r>
              <w:rPr>
                <w:rFonts w:hint="eastAsia" w:ascii="宋体" w:hAnsi="宋体" w:eastAsia="宋体" w:cs="宋体"/>
                <w:sz w:val="21"/>
                <w:szCs w:val="21"/>
                <w:lang w:val="en-US" w:eastAsia="zh-CN"/>
              </w:rPr>
              <w:t>皮振文</w:t>
            </w:r>
            <w:r>
              <w:rPr>
                <w:rFonts w:hint="eastAsia" w:ascii="宋体" w:hAnsi="宋体" w:eastAsia="宋体" w:cs="宋体"/>
                <w:sz w:val="21"/>
                <w:szCs w:val="21"/>
              </w:rPr>
              <w:t>、</w:t>
            </w:r>
            <w:r>
              <w:rPr>
                <w:rFonts w:hint="eastAsia" w:ascii="宋体" w:hAnsi="宋体" w:eastAsia="宋体" w:cs="宋体"/>
                <w:sz w:val="21"/>
                <w:szCs w:val="21"/>
                <w:lang w:val="en-US" w:eastAsia="zh-CN"/>
              </w:rPr>
              <w:t>综合部、供销部负责人</w:t>
            </w:r>
            <w:r>
              <w:rPr>
                <w:rFonts w:hint="eastAsia" w:ascii="宋体" w:hAnsi="宋体" w:eastAsia="宋体" w:cs="宋体"/>
                <w:sz w:val="21"/>
                <w:szCs w:val="21"/>
              </w:rPr>
              <w:t>等。计划中明确了评审内容和资料准备要求。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二、管理评审输入：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方针目标适宜性、质量目标的实现程度、体系策划和运行情况、可能的变更、外部供方的绩效、内审情况、顾客满意情况及纠正措施完成情况，应对风险和机遇所采取措施的有效性以及改进的建议等等。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以上内容可通过会上口头发言及工作总结、汇报等形式体现。</w:t>
            </w:r>
          </w:p>
          <w:p>
            <w:pPr>
              <w:spacing w:line="360" w:lineRule="auto"/>
              <w:rPr>
                <w:rFonts w:hint="eastAsia" w:ascii="宋体" w:hAnsi="宋体" w:eastAsia="宋体" w:cs="宋体"/>
                <w:sz w:val="21"/>
                <w:szCs w:val="21"/>
              </w:rPr>
            </w:pPr>
            <w:r>
              <w:rPr>
                <w:rFonts w:hint="eastAsia" w:ascii="宋体" w:hAnsi="宋体" w:eastAsia="宋体" w:cs="宋体"/>
                <w:sz w:val="21"/>
                <w:szCs w:val="21"/>
              </w:rPr>
              <w:t>三、查看“管理评审报告”，报告中对本次管理评审做了总结，评价了公司建立、运行管理体系的效果。</w:t>
            </w:r>
          </w:p>
          <w:p>
            <w:pPr>
              <w:spacing w:line="360" w:lineRule="auto"/>
              <w:rPr>
                <w:rFonts w:hint="eastAsia" w:ascii="宋体" w:hAnsi="宋体" w:eastAsia="宋体" w:cs="宋体"/>
                <w:sz w:val="21"/>
                <w:szCs w:val="21"/>
              </w:rPr>
            </w:pPr>
            <w:r>
              <w:rPr>
                <w:rFonts w:hint="eastAsia" w:ascii="宋体" w:hAnsi="宋体" w:eastAsia="宋体" w:cs="宋体"/>
                <w:sz w:val="21"/>
                <w:szCs w:val="21"/>
              </w:rPr>
              <w:t>四、管理评审输出/评审结论：</w:t>
            </w:r>
          </w:p>
          <w:p>
            <w:pPr>
              <w:spacing w:line="360" w:lineRule="auto"/>
              <w:rPr>
                <w:rFonts w:hint="eastAsia" w:ascii="宋体" w:hAnsi="宋体" w:eastAsia="宋体" w:cs="宋体"/>
                <w:sz w:val="21"/>
                <w:szCs w:val="21"/>
              </w:rPr>
            </w:pPr>
            <w:r>
              <w:rPr>
                <w:rFonts w:hint="eastAsia" w:ascii="宋体" w:hAnsi="宋体" w:eastAsia="宋体" w:cs="宋体"/>
                <w:sz w:val="21"/>
                <w:szCs w:val="21"/>
              </w:rPr>
              <w:t>通过本次评审，最终得出本公司管理体系是适宜的、充分的、有效的，方针和目标是适宜的和有效的。</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体系的运行现状及改进的要求</w:t>
            </w:r>
          </w:p>
        </w:tc>
        <w:tc>
          <w:tcPr>
            <w:tcW w:w="14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Q10.1</w:t>
            </w:r>
          </w:p>
        </w:tc>
        <w:tc>
          <w:tcPr>
            <w:tcW w:w="1128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总经理通过建立管理方针和目标，并鼓励员工提合理化建议，营造了一个激励改进的氛围，通过管理目标的建立与考核，明确了改进、努力的方向。</w:t>
            </w:r>
          </w:p>
          <w:p>
            <w:pPr>
              <w:spacing w:line="360" w:lineRule="auto"/>
              <w:rPr>
                <w:rFonts w:hint="eastAsia" w:ascii="宋体" w:hAnsi="宋体" w:eastAsia="宋体" w:cs="宋体"/>
                <w:sz w:val="21"/>
                <w:szCs w:val="21"/>
              </w:rPr>
            </w:pPr>
            <w:r>
              <w:rPr>
                <w:rFonts w:hint="eastAsia" w:ascii="宋体" w:hAnsi="宋体" w:eastAsia="宋体" w:cs="宋体"/>
                <w:sz w:val="21"/>
                <w:szCs w:val="21"/>
              </w:rPr>
              <w:t>企业自体系建立以来，通过内审的改进、管理评审；纠正措施的实施、顾客满意度调查等措施，采取了具体的改进措施。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通过提高销售服务以满足需求，通过内审、管理评审、数据分析与实施纠正和纠正措施，建立一个自我完善、持续改进的机制，不断改进体系绩效和有效性。</w:t>
            </w:r>
          </w:p>
          <w:p>
            <w:pPr>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基本符合要求。</w:t>
            </w:r>
          </w:p>
        </w:tc>
        <w:tc>
          <w:tcPr>
            <w:tcW w:w="753"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持续改进</w:t>
            </w:r>
          </w:p>
        </w:tc>
        <w:tc>
          <w:tcPr>
            <w:tcW w:w="1407"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w:t>
            </w:r>
          </w:p>
          <w:p>
            <w:pPr>
              <w:spacing w:line="360" w:lineRule="auto"/>
              <w:rPr>
                <w:rFonts w:hint="eastAsia" w:ascii="宋体" w:hAnsi="宋体" w:eastAsia="宋体" w:cs="宋体"/>
                <w:sz w:val="21"/>
                <w:szCs w:val="21"/>
              </w:rPr>
            </w:pPr>
            <w:r>
              <w:rPr>
                <w:rFonts w:hint="eastAsia" w:ascii="宋体" w:hAnsi="宋体" w:eastAsia="宋体" w:cs="宋体"/>
                <w:sz w:val="21"/>
                <w:szCs w:val="21"/>
              </w:rPr>
              <w:t>10.3</w:t>
            </w:r>
          </w:p>
        </w:tc>
        <w:tc>
          <w:tcPr>
            <w:tcW w:w="1128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公司制定《纠正预防措施控制程序》，规定了纠正措施的来源,明确了对不合格项应进行原因分析,制定纠正措施计划,实施跟踪验证,确保所采取 的纠正措施满足预期要求。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对不合格品采取退货处置，对其进行原因分析并采取纠正措施，经主管经理验收，有效。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内审中发现的不符合项已经采取纠正措施，整改完毕且有效。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通过交谈，基本能清楚纠正和预防措施的控制要求。改进的示例包括纠正、纠正措施、持续改进。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为确保公司提供给客户合格的产品和服务，公司开展检查和考核工作。</w:t>
            </w:r>
          </w:p>
          <w:p>
            <w:pPr>
              <w:spacing w:line="360" w:lineRule="auto"/>
              <w:rPr>
                <w:rFonts w:hint="eastAsia" w:ascii="宋体" w:hAnsi="宋体" w:eastAsia="宋体" w:cs="宋体"/>
                <w:sz w:val="21"/>
                <w:szCs w:val="21"/>
              </w:rPr>
            </w:pPr>
            <w:r>
              <w:rPr>
                <w:rFonts w:hint="eastAsia" w:ascii="宋体" w:hAnsi="宋体" w:eastAsia="宋体" w:cs="宋体"/>
                <w:sz w:val="21"/>
                <w:szCs w:val="21"/>
              </w:rPr>
              <w:t>根据不同过程、不同产品和不同要求，采取不同的方法进行监视、测量和分析。无其他不符合发生。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公司利用质量方针、目标、内审和外审、数据分析、纠正和预防措施以及管理评审，识别任何改进的机会，持续改进质量管理体系的适宜性、充分性和有效性。</w:t>
            </w:r>
          </w:p>
          <w:p>
            <w:pPr>
              <w:spacing w:line="360" w:lineRule="auto"/>
              <w:ind w:firstLine="420" w:firstLineChars="200"/>
              <w:rPr>
                <w:rFonts w:hint="eastAsia" w:ascii="宋体" w:hAnsi="宋体" w:eastAsia="宋体" w:cs="宋体"/>
                <w:sz w:val="21"/>
                <w:szCs w:val="21"/>
              </w:rPr>
            </w:pPr>
          </w:p>
        </w:tc>
        <w:tc>
          <w:tcPr>
            <w:tcW w:w="753" w:type="dxa"/>
          </w:tcPr>
          <w:p>
            <w:pPr>
              <w:spacing w:line="360" w:lineRule="auto"/>
              <w:rPr>
                <w:rFonts w:hint="eastAsia" w:ascii="宋体" w:hAnsi="宋体" w:eastAsia="宋体" w:cs="宋体"/>
                <w:sz w:val="21"/>
                <w:szCs w:val="21"/>
              </w:rPr>
            </w:pPr>
          </w:p>
        </w:tc>
      </w:tr>
    </w:tbl>
    <w:p>
      <w:pPr>
        <w:pStyle w:val="6"/>
        <w:rPr>
          <w:rFonts w:hint="eastAsia" w:ascii="宋体" w:hAnsi="宋体" w:eastAsia="宋体" w:cs="宋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9034D"/>
    <w:rsid w:val="02A96760"/>
    <w:rsid w:val="073E3C7E"/>
    <w:rsid w:val="0BBC6BD9"/>
    <w:rsid w:val="196B18E4"/>
    <w:rsid w:val="1C046376"/>
    <w:rsid w:val="1F033F29"/>
    <w:rsid w:val="2A2D502D"/>
    <w:rsid w:val="2F5E63C1"/>
    <w:rsid w:val="3014763E"/>
    <w:rsid w:val="35C8047F"/>
    <w:rsid w:val="3CB73F96"/>
    <w:rsid w:val="3CF319A0"/>
    <w:rsid w:val="428B1739"/>
    <w:rsid w:val="56EC014B"/>
    <w:rsid w:val="69307040"/>
    <w:rsid w:val="6DA8709A"/>
    <w:rsid w:val="712832BA"/>
    <w:rsid w:val="72333243"/>
    <w:rsid w:val="75102DA9"/>
    <w:rsid w:val="7F1749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qFormat/>
    <w:uiPriority w:val="99"/>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2022-03-09T02:04:50Z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D80C01267B514554A499444FCB742227</vt:lpwstr>
  </property>
</Properties>
</file>