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浙江中创节能科技有限公司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喻荣秋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1"/>
                <w:szCs w:val="21"/>
                <w:lang w:val="en-US" w:eastAsia="zh-CN"/>
              </w:rPr>
              <w:t>工艺流程：</w:t>
            </w: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备料</w:t>
            </w: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eastAsia="zh-CN"/>
              </w:rPr>
              <w:t>→加工（剪板、折弯等）</w:t>
            </w: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</w:rPr>
              <w:t>→</w:t>
            </w: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eastAsia="zh-CN"/>
              </w:rPr>
              <w:t>检验</w:t>
            </w: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</w:rPr>
              <w:t>→</w:t>
            </w: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eastAsia="zh-CN"/>
              </w:rPr>
              <w:t>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特殊过程：</w:t>
            </w:r>
            <w:r>
              <w:rPr>
                <w:rFonts w:hint="eastAsia"/>
                <w:lang w:val="en-US" w:eastAsia="zh-CN"/>
              </w:rPr>
              <w:t>无  关键过程：加工工序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风险及控制措施：产品质量不达标，导致客户要求得不到满足，针对生产人员的能力、生产发的设备、质量要求、作业指导书、工作环境等进行确认，严格遵守客户订单要求，针对订单要求进行评审，后期进行产品测试验证，保障输出符合要求</w:t>
            </w:r>
          </w:p>
          <w:p>
            <w:pPr>
              <w:pStyle w:val="2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《中华人民共和国产品质量法》，通风管道耐火试验方法 GB/T 17428-2009 ，非金属及复合风管 JG/T 258-2018，复合玻纤板风管 JC/T 591-1995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检验项目：尺寸、耐火性能测试等等，实验项目要求：详见提交产品检测报告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有型式检验报告，无型式检验要求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229870</wp:posOffset>
                  </wp:positionV>
                  <wp:extent cx="627380" cy="281940"/>
                  <wp:effectExtent l="0" t="0" r="7620" b="10160"/>
                  <wp:wrapNone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196850</wp:posOffset>
                  </wp:positionV>
                  <wp:extent cx="627380" cy="281940"/>
                  <wp:effectExtent l="0" t="0" r="7620" b="10160"/>
                  <wp:wrapNone/>
                  <wp:docPr id="3" name="图片 3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2022.2.21</w:t>
            </w:r>
            <w:bookmarkStart w:id="3" w:name="_GoBack"/>
            <w:bookmarkEnd w:id="3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47F60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rFonts w:ascii="Calibri" w:hAnsi="Calibri"/>
      <w:bCs/>
      <w:spacing w:val="10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2022-03-02T07:11:40Z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