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615"/>
        <w:gridCol w:w="403"/>
        <w:gridCol w:w="294"/>
        <w:gridCol w:w="680"/>
        <w:gridCol w:w="167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杭州红草莓冠香餐饮管理有限公司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浙江省杭州市西湖区西溪路560号8幢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sz w:val="21"/>
                <w:szCs w:val="21"/>
              </w:rPr>
              <w:t>浙江省杭州市西湖区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古荡街道</w:t>
            </w:r>
            <w:r>
              <w:rPr>
                <w:sz w:val="21"/>
                <w:szCs w:val="21"/>
              </w:rPr>
              <w:t>西溪路560号8幢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赵立琦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18667192315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赵立琦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  <w:r>
              <w:rPr>
                <w:sz w:val="21"/>
                <w:szCs w:val="21"/>
              </w:rPr>
              <w:t>18667192315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Liqi.zhao@hztripod.com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0120-2022-QFH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hint="eastAsia" w:ascii="宋体" w:hAnsi="宋体" w:eastAsia="宋体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hint="eastAsia" w:ascii="宋体" w:hAnsi="宋体" w:eastAsia="宋体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21" w:name="审核范围"/>
            <w:r>
              <w:rPr>
                <w:sz w:val="21"/>
                <w:szCs w:val="21"/>
              </w:rPr>
              <w:t>Q：餐饮服务（热食类食品制售）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F：位于浙江省杭州市西湖区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古荡街道</w:t>
            </w:r>
            <w:r>
              <w:rPr>
                <w:sz w:val="21"/>
                <w:szCs w:val="21"/>
              </w:rPr>
              <w:t>西溪路560号8幢杭州红草莓冠香餐饮管理有限公司的集体用餐制作、配送服务（热食类食品制售）</w:t>
            </w:r>
          </w:p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H：位于浙江省杭州市西湖区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古荡街道</w:t>
            </w:r>
            <w:r>
              <w:rPr>
                <w:sz w:val="21"/>
                <w:szCs w:val="21"/>
              </w:rPr>
              <w:t>西溪路560号8幢杭州红草莓冠香餐饮管理有限公司的集体用餐制作、配送服务（热食类食品制售）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Q：30.05.00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F：E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H：E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bCs w:val="0"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</w:rPr>
              <w:t>危害分析与关键控制点（H</w:t>
            </w:r>
            <w:r>
              <w:rPr>
                <w:rFonts w:asciiTheme="minorEastAsia" w:hAnsiTheme="minorEastAsia" w:eastAsiaTheme="minorEastAsia"/>
                <w:b/>
                <w:bCs w:val="0"/>
                <w:sz w:val="18"/>
                <w:szCs w:val="18"/>
              </w:rPr>
              <w:t>ACCP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</w:rPr>
              <w:t>）体系认证要求（V</w:t>
            </w:r>
            <w:r>
              <w:rPr>
                <w:rFonts w:asciiTheme="minorEastAsia" w:hAnsiTheme="minorEastAsia" w:eastAsiaTheme="minorEastAsia"/>
                <w:b/>
                <w:bCs w:val="0"/>
                <w:sz w:val="18"/>
                <w:szCs w:val="18"/>
              </w:rPr>
              <w:t>1.0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18"/>
                <w:szCs w:val="18"/>
              </w:rPr>
              <w:t>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2022年02月26日 下午</w:t>
            </w:r>
            <w:r>
              <w:rPr>
                <w:rFonts w:hint="eastAsia"/>
                <w:b/>
                <w:sz w:val="20"/>
                <w:lang w:val="en-US" w:eastAsia="zh-CN"/>
              </w:rPr>
              <w:t>13：00</w:t>
            </w:r>
            <w:r>
              <w:rPr>
                <w:rFonts w:hint="eastAsia"/>
                <w:b/>
                <w:sz w:val="20"/>
              </w:rPr>
              <w:t>至2022年02月28日 下午</w:t>
            </w:r>
            <w:bookmarkEnd w:id="29"/>
            <w:r>
              <w:rPr>
                <w:rFonts w:hint="eastAsia"/>
                <w:b/>
                <w:sz w:val="20"/>
                <w:lang w:val="en-US" w:eastAsia="zh-CN"/>
              </w:rPr>
              <w:t>16：30</w:t>
            </w:r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2.5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肖新龙</w:t>
            </w:r>
            <w:r>
              <w:rPr>
                <w:rFonts w:hint="eastAsia"/>
                <w:sz w:val="20"/>
                <w:lang w:val="en-US" w:eastAsia="zh-CN"/>
              </w:rPr>
              <w:t>-A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2020-N1QMS-1232380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2020-N1HACCP-1232380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F:E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H:E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17706316076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18006317769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H:晋级见证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任泽华</w:t>
            </w:r>
            <w:r>
              <w:rPr>
                <w:rFonts w:hint="eastAsia"/>
                <w:sz w:val="20"/>
                <w:lang w:val="en-US" w:eastAsia="zh-CN"/>
              </w:rPr>
              <w:t>-B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2019-N1QMS-3059498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2020-N1FSMS-3059498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ISC-59498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F:E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H:E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陈权</w:t>
            </w:r>
            <w:r>
              <w:rPr>
                <w:rFonts w:hint="eastAsia"/>
                <w:sz w:val="20"/>
                <w:lang w:val="en-US" w:eastAsia="zh-CN"/>
              </w:rPr>
              <w:t>-C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2019-N0QMS-1237169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13336722672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4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4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4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54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549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4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gridSpan w:val="4"/>
            <w:vAlign w:val="center"/>
          </w:tcPr>
          <w:p/>
        </w:tc>
        <w:tc>
          <w:tcPr>
            <w:tcW w:w="128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vAlign w:val="center"/>
          </w:tcPr>
          <w:p/>
        </w:tc>
        <w:tc>
          <w:tcPr>
            <w:tcW w:w="1544" w:type="dxa"/>
            <w:gridSpan w:val="4"/>
            <w:vAlign w:val="center"/>
          </w:tcPr>
          <w:p/>
        </w:tc>
        <w:tc>
          <w:tcPr>
            <w:tcW w:w="128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审核派遣人"/>
            <w:r>
              <w:rPr>
                <w:sz w:val="21"/>
                <w:szCs w:val="21"/>
              </w:rPr>
              <w:t>李永忠</w:t>
            </w:r>
            <w:bookmarkEnd w:id="31"/>
          </w:p>
        </w:tc>
        <w:tc>
          <w:tcPr>
            <w:tcW w:w="2159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18006317769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2022-02-25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tbl>
      <w:tblPr>
        <w:tblStyle w:val="6"/>
        <w:tblW w:w="10190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11"/>
        <w:gridCol w:w="810"/>
        <w:gridCol w:w="3681"/>
        <w:gridCol w:w="2382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9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2022-02-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26下午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第一天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ind w:firstLine="181" w:firstLineChars="100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13：00-13：30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681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2382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13：30-17：00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领导层</w:t>
            </w:r>
          </w:p>
        </w:tc>
        <w:tc>
          <w:tcPr>
            <w:tcW w:w="3681" w:type="dxa"/>
            <w:shd w:val="clear" w:color="auto" w:fill="auto"/>
          </w:tcPr>
          <w:p>
            <w:pPr>
              <w:spacing w:line="3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内外部环境、相关方需求和期望识别、合规义务、风险和机遇识别及应对措施；管理体系范围、管理体系及其过程、领导作用、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管理</w:t>
            </w:r>
            <w:r>
              <w:rPr>
                <w:rFonts w:hint="eastAsia"/>
                <w:sz w:val="18"/>
                <w:szCs w:val="18"/>
              </w:rPr>
              <w:t>目标及其实现的策划、变更的策划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应急准备和响应、资源</w:t>
            </w:r>
            <w:r>
              <w:rPr>
                <w:rFonts w:hint="eastAsia"/>
                <w:sz w:val="18"/>
                <w:szCs w:val="18"/>
                <w:lang w:eastAsia="zh-CN"/>
              </w:rPr>
              <w:t>【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总则</w:t>
            </w:r>
            <w:r>
              <w:rPr>
                <w:rFonts w:hint="eastAsia"/>
                <w:sz w:val="18"/>
                <w:szCs w:val="18"/>
                <w:lang w:eastAsia="zh-CN"/>
              </w:rPr>
              <w:t>】</w:t>
            </w:r>
            <w:r>
              <w:rPr>
                <w:rFonts w:hint="eastAsia"/>
                <w:sz w:val="18"/>
                <w:szCs w:val="18"/>
              </w:rPr>
              <w:t>、沟通、食品安全文化、成文信息</w:t>
            </w:r>
            <w:r>
              <w:rPr>
                <w:rFonts w:hint="eastAsia"/>
                <w:sz w:val="18"/>
                <w:szCs w:val="18"/>
                <w:lang w:eastAsia="zh-CN"/>
              </w:rPr>
              <w:t>【</w:t>
            </w:r>
            <w:r>
              <w:rPr>
                <w:rFonts w:hint="eastAsia"/>
                <w:sz w:val="18"/>
                <w:szCs w:val="18"/>
              </w:rPr>
              <w:t>总则</w:t>
            </w:r>
            <w:r>
              <w:rPr>
                <w:rFonts w:hint="eastAsia"/>
                <w:sz w:val="18"/>
                <w:szCs w:val="18"/>
                <w:lang w:eastAsia="zh-CN"/>
              </w:rPr>
              <w:t>】、</w:t>
            </w:r>
            <w:r>
              <w:rPr>
                <w:rFonts w:hint="eastAsia"/>
                <w:sz w:val="18"/>
                <w:szCs w:val="18"/>
              </w:rPr>
              <w:t>运行策划和控制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监视测量分析和评价（总则）、内部审核、管理评审、改进（总则）、不合格和纠正措施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持续改进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、食品安全管理体系的更新</w:t>
            </w:r>
          </w:p>
          <w:p>
            <w:pPr>
              <w:pStyle w:val="2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上次不符合项的验证、认证证书使用情况、重大体系变更/重大食品安全事故或投诉、资质更新情况等</w:t>
            </w:r>
          </w:p>
        </w:tc>
        <w:tc>
          <w:tcPr>
            <w:tcW w:w="2382" w:type="dxa"/>
            <w:shd w:val="clear" w:color="auto" w:fill="auto"/>
          </w:tcPr>
          <w:p>
            <w:pPr>
              <w:spacing w:line="300" w:lineRule="exact"/>
              <w:rPr>
                <w:rFonts w:hint="default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Q: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4.1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-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4.4/5.1/5.2/5.3/6.1/6.2/6.3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7.1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.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1/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7.4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7.5.1/8.1/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9.1.1/9.2/9.3/10.1-10.3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F:4.1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-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4.4/5.1/5.2/5.3/6.1/6.2/6.3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7.1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.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1/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7.4/7.5.1/8.1/8.4/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9.1.1/9.2/9.3/10.1-10.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H：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/1.2.1/1.2.2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/2.1-</w:t>
            </w:r>
          </w:p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2.5/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3.1/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3.13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/5.1/5.3/5.4/5.5</w:t>
            </w: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A:FH(F)</w:t>
            </w:r>
          </w:p>
          <w:p>
            <w:pPr>
              <w:pStyle w:val="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B:Q(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</w:rPr>
              <w:t>)H</w:t>
            </w:r>
          </w:p>
          <w:p>
            <w:pPr>
              <w:pStyle w:val="2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C:Q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13：30-17：00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食品安全小组/HACCP小组</w:t>
            </w:r>
          </w:p>
        </w:tc>
        <w:tc>
          <w:tcPr>
            <w:tcW w:w="3681" w:type="dxa"/>
            <w:shd w:val="clear" w:color="auto" w:fill="auto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食品安全小组/HACCP组长及职责、</w:t>
            </w:r>
            <w:r>
              <w:rPr>
                <w:rFonts w:ascii="CIDFont" w:hAnsi="CIDFont" w:eastAsia="CIDFont" w:cs="CIDFont"/>
                <w:color w:val="000000"/>
                <w:kern w:val="0"/>
                <w:sz w:val="18"/>
                <w:szCs w:val="18"/>
                <w:lang w:bidi="ar"/>
              </w:rPr>
              <w:t>外部开发的食品安全管理体系要素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体系策划（文件、手册等）、PRP/良好卫生规范策划、运行策划和控制、前提计划（总则）、可追溯性系统、实施危害分析的预备步骤、危害分析、控制措施和控制措施组合的确认/危害分析和制定控制措施、危害控制计划（HACCP/OPRP计划）、危害控制计划的实施、规定前提方案（PRP）和危害控制计划的信息的更新、与前提方案（PRPs）和危害控制计划有关的验证、致敏物质的管理、食品防护计划、食品欺诈预防计划、HACCP 计划记录的保持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一阶段问题验证</w:t>
            </w:r>
          </w:p>
        </w:tc>
        <w:tc>
          <w:tcPr>
            <w:tcW w:w="2382" w:type="dxa"/>
            <w:shd w:val="clear" w:color="auto" w:fill="auto"/>
          </w:tcPr>
          <w:p>
            <w:pPr>
              <w:spacing w:line="300" w:lineRule="exact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F: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.3/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7.1.5/8.2/8.3/8.5/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8.6/8.8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H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2.5.1/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3.7/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3.10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3.11/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3.12/4.1-4.6</w:t>
            </w: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A：FH</w:t>
            </w:r>
          </w:p>
          <w:p>
            <w:pPr>
              <w:pStyle w:val="2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B：H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17:00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681" w:type="dxa"/>
            <w:shd w:val="clear" w:color="auto" w:fill="auto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第一天审核结束（4h）</w:t>
            </w:r>
          </w:p>
        </w:tc>
        <w:tc>
          <w:tcPr>
            <w:tcW w:w="2382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2022-02-2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第二天</w:t>
            </w:r>
          </w:p>
        </w:tc>
        <w:tc>
          <w:tcPr>
            <w:tcW w:w="810" w:type="dxa"/>
            <w:shd w:val="clear" w:color="auto" w:fill="auto"/>
          </w:tcPr>
          <w:p>
            <w:pPr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3681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8:30-12:30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运营部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及现场</w:t>
            </w:r>
          </w:p>
        </w:tc>
        <w:tc>
          <w:tcPr>
            <w:tcW w:w="368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部门职责、目标管理、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r>
              <w:rPr>
                <w:rFonts w:ascii="CIDFont" w:hAnsi="CIDFont" w:eastAsia="CIDFont" w:cs="CIDFont"/>
                <w:color w:val="000000"/>
                <w:kern w:val="0"/>
                <w:sz w:val="18"/>
                <w:szCs w:val="18"/>
                <w:lang w:eastAsia="zh-CN" w:bidi="ar"/>
              </w:rPr>
              <w:t>oprp/ccp的实施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顾客满意、投诉处理、致敏物管理、食品防护、食品欺诈管理等、一阶段问题验证</w:t>
            </w:r>
          </w:p>
        </w:tc>
        <w:tc>
          <w:tcPr>
            <w:tcW w:w="2382" w:type="dxa"/>
            <w:shd w:val="clear" w:color="auto" w:fill="auto"/>
            <w:vAlign w:val="top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Q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:5.3/6.2/7.1.3/7.1.4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8.2/8.3/8.4/8.5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9.1.2</w:t>
            </w:r>
          </w:p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F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:5.3/6.2/7.1.3/7.1.4/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1.6/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8.2/8.3/8.4/8.5.4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8.9.5</w:t>
            </w:r>
          </w:p>
          <w:p>
            <w:pPr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H:2.4.2/2.5.1/3.3/3.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/3.7/3.9/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3.10/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.11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3.12/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3.13/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4.3.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5.2</w:t>
            </w: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A:FH(Q)</w:t>
            </w:r>
          </w:p>
          <w:p>
            <w:pPr>
              <w:snapToGrid w:val="0"/>
              <w:spacing w:line="3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B:Q(F)H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C：Q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12:30-13:00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681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休息</w:t>
            </w:r>
          </w:p>
        </w:tc>
        <w:tc>
          <w:tcPr>
            <w:tcW w:w="2382" w:type="dxa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AB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13:00-17:00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运营部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及现场</w:t>
            </w:r>
          </w:p>
        </w:tc>
        <w:tc>
          <w:tcPr>
            <w:tcW w:w="368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部门职责、目标管理、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r>
              <w:rPr>
                <w:rFonts w:ascii="CIDFont" w:hAnsi="CIDFont" w:eastAsia="CIDFont" w:cs="CIDFont"/>
                <w:color w:val="000000"/>
                <w:kern w:val="0"/>
                <w:sz w:val="18"/>
                <w:szCs w:val="18"/>
                <w:lang w:eastAsia="zh-CN" w:bidi="ar"/>
              </w:rPr>
              <w:t>oprp/ccp的实施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顾客满意、投诉处理、致敏物管理、食品防护、食品欺诈管理等、一阶段问题验证</w:t>
            </w:r>
          </w:p>
        </w:tc>
        <w:tc>
          <w:tcPr>
            <w:tcW w:w="2382" w:type="dxa"/>
            <w:shd w:val="clear" w:color="auto" w:fill="auto"/>
            <w:vAlign w:val="top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Q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:5.3/6.2/7.1.3/7.1.4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8.2/8.3/8.4/8.5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9.1.2</w:t>
            </w:r>
          </w:p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F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:5.3/6.2/7.1.3/7.1.4/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1.6/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8.2/8.3/8.4/8.5.4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8.9.5</w:t>
            </w:r>
          </w:p>
          <w:p>
            <w:pPr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H:2.4.2/2.5.1/3.3/3.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/3.7/3.9/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3.10/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.11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3.12/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3.13/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4.3.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5.2</w:t>
            </w: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A:FH(Q)</w:t>
            </w:r>
          </w:p>
          <w:p>
            <w:pPr>
              <w:snapToGrid w:val="0"/>
              <w:spacing w:line="3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B:Q(F)H</w:t>
            </w:r>
          </w:p>
          <w:p>
            <w:pPr>
              <w:pStyle w:val="2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C：Q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681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/>
                <w:sz w:val="18"/>
                <w:szCs w:val="18"/>
              </w:rPr>
              <w:t>天结束（8h）</w:t>
            </w:r>
          </w:p>
        </w:tc>
        <w:tc>
          <w:tcPr>
            <w:tcW w:w="2382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900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2022-02-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28全天</w:t>
            </w: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第3天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3681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8：00-10：30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运营部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及现场</w:t>
            </w:r>
          </w:p>
        </w:tc>
        <w:tc>
          <w:tcPr>
            <w:tcW w:w="368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部门职责、目标管理、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r>
              <w:rPr>
                <w:rFonts w:ascii="CIDFont" w:hAnsi="CIDFont" w:eastAsia="CIDFont" w:cs="CIDFont"/>
                <w:color w:val="000000"/>
                <w:kern w:val="0"/>
                <w:sz w:val="18"/>
                <w:szCs w:val="18"/>
                <w:lang w:eastAsia="zh-CN" w:bidi="ar"/>
              </w:rPr>
              <w:t>oprp/ccp的实施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顾客满意、投诉处理、致敏物管理、食品防护、食品欺诈管理等、一阶段问题验证</w:t>
            </w:r>
            <w:bookmarkStart w:id="32" w:name="_GoBack"/>
            <w:bookmarkEnd w:id="32"/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——继续审核</w:t>
            </w:r>
          </w:p>
        </w:tc>
        <w:tc>
          <w:tcPr>
            <w:tcW w:w="2382" w:type="dxa"/>
            <w:shd w:val="clear" w:color="auto" w:fill="auto"/>
            <w:vAlign w:val="top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Q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:5.3/6.2/7.1.3/7.1.4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8.2/8.3/8.4/8.5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9.1.2</w:t>
            </w:r>
          </w:p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F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:5.3/6.2/7.1.3/7.1.4/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1.6/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8.2/8.3/8.4/8.5.4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8.9.5</w:t>
            </w:r>
          </w:p>
          <w:p>
            <w:pPr>
              <w:rPr>
                <w:rFonts w:hint="default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H:2.4.2/2.5.1/3.3/3.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/3.7/3.9/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3.10/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.11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3.12/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3.13/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4.3.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5.2</w:t>
            </w: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A:FH(Q)</w:t>
            </w:r>
          </w:p>
          <w:p>
            <w:pPr>
              <w:snapToGrid w:val="0"/>
              <w:spacing w:line="3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B:Q(F)H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C：Q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10：30-12：30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品控部及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现场</w:t>
            </w:r>
          </w:p>
        </w:tc>
        <w:tc>
          <w:tcPr>
            <w:tcW w:w="3681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部门职责、目标、监视和测量的控制、产品放行、</w:t>
            </w:r>
            <w:r>
              <w:rPr>
                <w:rFonts w:ascii="CIDFont" w:hAnsi="CIDFont" w:eastAsia="CIDFont" w:cs="CIDFont"/>
                <w:color w:val="000000"/>
                <w:kern w:val="0"/>
                <w:sz w:val="18"/>
                <w:szCs w:val="18"/>
                <w:lang w:bidi="ar"/>
              </w:rPr>
              <w:t>oprp/ccp的实施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不合格品/</w:t>
            </w:r>
            <w:r>
              <w:rPr>
                <w:rFonts w:ascii="CIDFont" w:hAnsi="CIDFont" w:eastAsia="CIDFont" w:cs="CIDFont"/>
                <w:color w:val="000000"/>
                <w:kern w:val="0"/>
                <w:sz w:val="18"/>
                <w:szCs w:val="18"/>
                <w:lang w:bidi="ar"/>
              </w:rPr>
              <w:t>产品和过程的不合格项控制、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18"/>
                <w:szCs w:val="18"/>
                <w:lang w:bidi="ar"/>
              </w:rPr>
              <w:t>分析和评价</w:t>
            </w:r>
          </w:p>
        </w:tc>
        <w:tc>
          <w:tcPr>
            <w:tcW w:w="2382" w:type="dxa"/>
            <w:shd w:val="clear" w:color="auto" w:fill="auto"/>
            <w:vAlign w:val="top"/>
          </w:tcPr>
          <w:p>
            <w:pP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Q：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6.2/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7.1.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5/8.6/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8.7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/9.1.3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  <w:t>F</w:t>
            </w: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6.2/8.5.4.5/8.7/</w:t>
            </w:r>
          </w:p>
          <w:p>
            <w:pPr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8.9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.1-8.9.4/9.1.2</w:t>
            </w:r>
          </w:p>
          <w:p>
            <w:pPr>
              <w:spacing w:line="300" w:lineRule="exact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H:2.4.2/2.5.1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/3.8/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3.6/</w:t>
            </w:r>
          </w:p>
          <w:p>
            <w:pPr>
              <w:spacing w:line="300" w:lineRule="exact"/>
              <w:rPr>
                <w:rFonts w:hint="default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4.3.4.3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/5.1.1-5.1.3</w:t>
            </w: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A:FH(Q)</w:t>
            </w:r>
          </w:p>
          <w:p>
            <w:pPr>
              <w:snapToGrid w:val="0"/>
              <w:spacing w:line="3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B:Q(F)H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C：Q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12：</w:t>
            </w:r>
          </w:p>
        </w:tc>
        <w:tc>
          <w:tcPr>
            <w:tcW w:w="131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12：30-13：00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681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午餐休息</w:t>
            </w:r>
          </w:p>
        </w:tc>
        <w:tc>
          <w:tcPr>
            <w:tcW w:w="238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1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13：00-14：30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品控部及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现场</w:t>
            </w:r>
          </w:p>
        </w:tc>
        <w:tc>
          <w:tcPr>
            <w:tcW w:w="3681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eastAsia="宋体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部门职责、目标、监视和测量的控制、产品放行、</w:t>
            </w:r>
            <w:r>
              <w:rPr>
                <w:rFonts w:ascii="CIDFont" w:hAnsi="CIDFont" w:eastAsia="CIDFont" w:cs="CIDFont"/>
                <w:color w:val="000000"/>
                <w:kern w:val="0"/>
                <w:sz w:val="18"/>
                <w:szCs w:val="18"/>
                <w:lang w:bidi="ar"/>
              </w:rPr>
              <w:t>oprp/ccp的实施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不合格品/</w:t>
            </w:r>
            <w:r>
              <w:rPr>
                <w:rFonts w:ascii="CIDFont" w:hAnsi="CIDFont" w:eastAsia="CIDFont" w:cs="CIDFont"/>
                <w:color w:val="000000"/>
                <w:kern w:val="0"/>
                <w:sz w:val="18"/>
                <w:szCs w:val="18"/>
                <w:lang w:bidi="ar"/>
              </w:rPr>
              <w:t>产品和过程的不合格项控制、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18"/>
                <w:szCs w:val="18"/>
                <w:lang w:bidi="ar"/>
              </w:rPr>
              <w:t>分析和评价</w:t>
            </w:r>
            <w:r>
              <w:rPr>
                <w:rFonts w:hint="eastAsia" w:ascii="CIDFont" w:hAnsi="CIDFont" w:cs="CIDFont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CIDFont" w:hAnsi="CIDFont" w:cs="CIDFont"/>
                <w:color w:val="000000"/>
                <w:kern w:val="0"/>
                <w:sz w:val="18"/>
                <w:szCs w:val="18"/>
                <w:lang w:val="en-US" w:eastAsia="zh-CN" w:bidi="ar"/>
              </w:rPr>
              <w:t>验证</w:t>
            </w:r>
          </w:p>
        </w:tc>
        <w:tc>
          <w:tcPr>
            <w:tcW w:w="2382" w:type="dxa"/>
            <w:shd w:val="clear" w:color="auto" w:fill="auto"/>
            <w:vAlign w:val="top"/>
          </w:tcPr>
          <w:p>
            <w:pP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Q：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6.2/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7.1.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5/8.6/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8.7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/9.1.3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  <w:t>F</w:t>
            </w: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6.2/8.5.4.5/8.7/</w:t>
            </w:r>
          </w:p>
          <w:p>
            <w:pPr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8.8/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8.9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.1-8.9.4/9.1.2</w:t>
            </w:r>
          </w:p>
          <w:p>
            <w:pPr>
              <w:spacing w:line="300" w:lineRule="exact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H:2.4.2/2.5.1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/3.8/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3.6/</w:t>
            </w:r>
          </w:p>
          <w:p>
            <w:pPr>
              <w:spacing w:line="300" w:lineRule="exact"/>
              <w:rPr>
                <w:rFonts w:hint="default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4.3.4.3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/4.5/5.1.1-5.1.3</w:t>
            </w: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A:FH(Q)</w:t>
            </w:r>
          </w:p>
          <w:p>
            <w:pPr>
              <w:snapToGrid w:val="0"/>
              <w:spacing w:line="3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B:Q(F)H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C：Q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14：30-16：00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综合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部门职责、目标、人员、能力、意识、沟通、持证上岗人员、健康证、文件和记录管理、组织的知识</w:t>
            </w:r>
          </w:p>
        </w:tc>
        <w:tc>
          <w:tcPr>
            <w:tcW w:w="2382" w:type="dxa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Q：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6.2/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7.1.2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7.1.6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cs="Arial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7.2/7.3/7.4/7.5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.2/7.5.3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  <w:t>F</w:t>
            </w: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6.2/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7.1.2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7.2/</w:t>
            </w:r>
          </w:p>
          <w:p>
            <w:pPr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7.3/7.4/7.5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.2/7.5.3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H:1.2.3/1.2.4/2.4.2/2.5.1/2.5.2.1/3.2</w:t>
            </w: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pStyle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A:FH(Q)</w:t>
            </w:r>
          </w:p>
          <w:p>
            <w:pPr>
              <w:snapToGrid w:val="0"/>
              <w:spacing w:line="3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B:Q(F)H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C：Q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16：00-16：30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681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</w:t>
            </w:r>
          </w:p>
        </w:tc>
        <w:tc>
          <w:tcPr>
            <w:tcW w:w="2382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900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16：30</w:t>
            </w:r>
          </w:p>
        </w:tc>
        <w:tc>
          <w:tcPr>
            <w:tcW w:w="810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681" w:type="dxa"/>
            <w:shd w:val="clear" w:color="auto" w:fill="auto"/>
          </w:tcPr>
          <w:p>
            <w:pPr>
              <w:spacing w:line="3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审核结束结束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8h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82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00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注：</w:t>
            </w:r>
          </w:p>
        </w:tc>
        <w:tc>
          <w:tcPr>
            <w:tcW w:w="9290" w:type="dxa"/>
            <w:gridSpan w:val="5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HACCP体系审核中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任泽华（</w:t>
            </w:r>
            <w:r>
              <w:rPr>
                <w:rFonts w:hint="eastAsia"/>
                <w:color w:val="auto"/>
                <w:sz w:val="18"/>
                <w:szCs w:val="18"/>
              </w:rPr>
              <w:t>B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均被肖新龙（A）见证；C：实习Q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216B75"/>
    <w:rsid w:val="3BDB5FA9"/>
    <w:rsid w:val="5BF96ACF"/>
    <w:rsid w:val="68B110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2022-02-28T06:44:55Z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