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重庆长江环保设备有限责任公司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0618-2019-Q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孟华碧</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重庆碧昇环保设备有限公司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2019年12月04日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166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2019-11-29T08:34:22Z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