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0181-2021-QEO-2022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安庆市鑫华腈工贸有限责任公司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3"/>
        <w:rPr>
          <w:rFonts w:hint="eastAsia"/>
        </w:rPr>
      </w:pPr>
    </w:p>
    <w:p>
      <w:pPr>
        <w:pStyle w:val="13"/>
        <w:rPr>
          <w:rFonts w:hint="eastAsia"/>
        </w:rPr>
      </w:pPr>
    </w:p>
    <w:p>
      <w:pPr>
        <w:pStyle w:val="13"/>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安庆市鑫华腈工贸有限责任公司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安徽省安庆市花亭路11号</w:t>
            </w:r>
            <w:bookmarkEnd w:id="6"/>
          </w:p>
        </w:tc>
        <w:tc>
          <w:tcPr>
            <w:tcW w:w="1242" w:type="dxa"/>
            <w:vMerge w:val="restart"/>
            <w:vAlign w:val="center"/>
          </w:tcPr>
          <w:p>
            <w:r>
              <w:rPr>
                <w:rFonts w:hint="eastAsia"/>
              </w:rPr>
              <w:t>邮编</w:t>
            </w:r>
          </w:p>
        </w:tc>
        <w:tc>
          <w:tcPr>
            <w:tcW w:w="1771" w:type="dxa"/>
          </w:tcPr>
          <w:p>
            <w:bookmarkStart w:id="7" w:name="注册邮编"/>
            <w:r>
              <w:t>246001</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安徽省安庆市大观区黄土坑西路116号</w:t>
            </w:r>
            <w:bookmarkEnd w:id="8"/>
          </w:p>
        </w:tc>
        <w:tc>
          <w:tcPr>
            <w:tcW w:w="1242" w:type="dxa"/>
            <w:vMerge w:val="continue"/>
            <w:vAlign w:val="center"/>
          </w:tcPr>
          <w:p/>
        </w:tc>
        <w:tc>
          <w:tcPr>
            <w:tcW w:w="1771" w:type="dxa"/>
          </w:tcPr>
          <w:p>
            <w:bookmarkStart w:id="9" w:name="办公邮编"/>
            <w:r>
              <w:t>246001</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r>
              <w:rPr>
                <w:rFonts w:hint="eastAsia"/>
                <w:sz w:val="21"/>
                <w:szCs w:val="21"/>
              </w:rPr>
              <w:t>丁婷</w:t>
            </w:r>
          </w:p>
        </w:tc>
        <w:tc>
          <w:tcPr>
            <w:tcW w:w="1313" w:type="dxa"/>
            <w:vAlign w:val="center"/>
          </w:tcPr>
          <w:p>
            <w:r>
              <w:rPr>
                <w:rFonts w:hint="eastAsia"/>
              </w:rPr>
              <w:t>电话.</w:t>
            </w:r>
          </w:p>
        </w:tc>
        <w:tc>
          <w:tcPr>
            <w:tcW w:w="2180" w:type="dxa"/>
            <w:vAlign w:val="center"/>
          </w:tcPr>
          <w:p>
            <w:bookmarkStart w:id="10" w:name="联系人电话"/>
            <w:r>
              <w:t>13805563189</w:t>
            </w:r>
            <w:bookmarkEnd w:id="10"/>
          </w:p>
        </w:tc>
        <w:tc>
          <w:tcPr>
            <w:tcW w:w="1242" w:type="dxa"/>
            <w:vAlign w:val="center"/>
          </w:tcPr>
          <w:p>
            <w:r>
              <w:rPr>
                <w:rFonts w:hint="eastAsia"/>
              </w:rPr>
              <w:t>传真</w:t>
            </w:r>
          </w:p>
        </w:tc>
        <w:tc>
          <w:tcPr>
            <w:tcW w:w="1771" w:type="dxa"/>
          </w:tcPr>
          <w:p>
            <w:bookmarkStart w:id="11" w:name="联系人传真"/>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2" w:name="法人"/>
            <w:r>
              <w:t>吴军</w:t>
            </w:r>
            <w:bookmarkEnd w:id="12"/>
          </w:p>
        </w:tc>
        <w:tc>
          <w:tcPr>
            <w:tcW w:w="1313" w:type="dxa"/>
            <w:vAlign w:val="center"/>
          </w:tcPr>
          <w:p>
            <w:r>
              <w:rPr>
                <w:rFonts w:hint="eastAsia"/>
              </w:rPr>
              <w:t>管理者代表</w:t>
            </w:r>
          </w:p>
        </w:tc>
        <w:tc>
          <w:tcPr>
            <w:tcW w:w="2180" w:type="dxa"/>
          </w:tcPr>
          <w:p>
            <w:pPr>
              <w:rPr>
                <w:rFonts w:hint="eastAsia" w:eastAsia="宋体"/>
                <w:lang w:eastAsia="zh-CN"/>
              </w:rPr>
            </w:pPr>
            <w:r>
              <w:rPr>
                <w:rFonts w:hint="eastAsia"/>
                <w:lang w:eastAsia="zh-CN"/>
              </w:rPr>
              <w:t>徐晶晶</w:t>
            </w:r>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drawing>
                <wp:anchor distT="0" distB="0" distL="114300" distR="114300" simplePos="0" relativeHeight="251662336" behindDoc="0" locked="0" layoutInCell="1" allowOverlap="1">
                  <wp:simplePos x="0" y="0"/>
                  <wp:positionH relativeFrom="column">
                    <wp:posOffset>177800</wp:posOffset>
                  </wp:positionH>
                  <wp:positionV relativeFrom="paragraph">
                    <wp:posOffset>108585</wp:posOffset>
                  </wp:positionV>
                  <wp:extent cx="3841750" cy="2292350"/>
                  <wp:effectExtent l="0" t="0" r="6350" b="635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3841750" cy="2292350"/>
                          </a:xfrm>
                          <a:prstGeom prst="rect">
                            <a:avLst/>
                          </a:prstGeom>
                          <a:noFill/>
                          <a:ln>
                            <a:noFill/>
                          </a:ln>
                        </pic:spPr>
                      </pic:pic>
                    </a:graphicData>
                  </a:graphic>
                </wp:anchor>
              </w:drawing>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3" w:name="审核日期"/>
            <w:r>
              <w:rPr>
                <w:rFonts w:hint="eastAsia"/>
              </w:rPr>
              <w:t>2022年04月2</w:t>
            </w:r>
            <w:r>
              <w:rPr>
                <w:rFonts w:hint="eastAsia"/>
                <w:lang w:val="en-US" w:eastAsia="zh-CN"/>
              </w:rPr>
              <w:t>9</w:t>
            </w:r>
            <w:r>
              <w:rPr>
                <w:rFonts w:hint="eastAsia"/>
              </w:rPr>
              <w:t>日 上午至2022年04月</w:t>
            </w:r>
            <w:r>
              <w:rPr>
                <w:rFonts w:hint="eastAsia"/>
                <w:lang w:val="en-US" w:eastAsia="zh-CN"/>
              </w:rPr>
              <w:t>30</w:t>
            </w:r>
            <w:r>
              <w:rPr>
                <w:rFonts w:hint="eastAsia"/>
              </w:rPr>
              <w:t>日 下午</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4" w:name="初审"/>
            <w:r>
              <w:rPr>
                <w:rFonts w:hint="eastAsia"/>
              </w:rPr>
              <w:t>□</w:t>
            </w:r>
            <w:bookmarkEnd w:id="14"/>
            <w:r>
              <w:rPr>
                <w:rFonts w:hint="eastAsia"/>
              </w:rPr>
              <w:t>初审二阶段：评价组织管理体系建立、实施运行的符合性及有效性，以确定是否推荐认证注册。</w:t>
            </w:r>
          </w:p>
          <w:p>
            <w:bookmarkStart w:id="15" w:name="监督勾选"/>
            <w:r>
              <w:rPr>
                <w:rFonts w:hint="eastAsia"/>
              </w:rPr>
              <w:t>■</w:t>
            </w:r>
            <w:bookmarkEnd w:id="15"/>
            <w:r>
              <w:rPr>
                <w:rFonts w:hint="eastAsia"/>
              </w:rPr>
              <w:t>监督审核：评价组织管理体系的持续符合性和有效性，以确定是否推荐保持认证证书。</w:t>
            </w:r>
          </w:p>
          <w:p>
            <w:bookmarkStart w:id="16" w:name="再认证勾选Add1"/>
            <w:r>
              <w:rPr>
                <w:rFonts w:hint="eastAsia"/>
              </w:rPr>
              <w:t>□</w:t>
            </w:r>
            <w:bookmarkEnd w:id="16"/>
            <w:r>
              <w:rPr>
                <w:rFonts w:hint="eastAsia"/>
              </w:rPr>
              <w:t>再认证：评价组织管理体系整体的持续符合性和有效性，以确定是否推荐更新认证并换发认证证书。</w:t>
            </w:r>
          </w:p>
          <w:p>
            <w:bookmarkStart w:id="17" w:name="扩项勾选"/>
            <w:r>
              <w:rPr>
                <w:rFonts w:hint="eastAsia"/>
              </w:rPr>
              <w:t>□</w:t>
            </w:r>
            <w:bookmarkEnd w:id="17"/>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18" w:name="Q勾选Add1"/>
            <w:r>
              <w:rPr>
                <w:rFonts w:hint="eastAsia"/>
                <w:lang w:val="de-DE"/>
              </w:rPr>
              <w:t>■</w:t>
            </w:r>
            <w:bookmarkEnd w:id="18"/>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19" w:name="QJ勾选Add1"/>
            <w:r>
              <w:rPr>
                <w:rFonts w:hint="eastAsia"/>
                <w:lang w:val="de-DE"/>
              </w:rPr>
              <w:t>□</w:t>
            </w:r>
            <w:bookmarkEnd w:id="19"/>
            <w:r>
              <w:rPr>
                <w:rFonts w:hint="eastAsia"/>
                <w:lang w:val="de-DE"/>
              </w:rPr>
              <w:t>GB/T 50430-2017</w:t>
            </w:r>
          </w:p>
          <w:p>
            <w:pPr>
              <w:rPr>
                <w:lang w:val="de-DE"/>
              </w:rPr>
            </w:pPr>
            <w:bookmarkStart w:id="20" w:name="E勾选Add1"/>
            <w:r>
              <w:rPr>
                <w:rFonts w:hint="eastAsia"/>
                <w:lang w:val="de-DE"/>
              </w:rPr>
              <w:t>■</w:t>
            </w:r>
            <w:bookmarkEnd w:id="20"/>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1" w:name="S勾选Add1"/>
            <w:r>
              <w:rPr>
                <w:rFonts w:hint="eastAsia"/>
                <w:lang w:val="de-DE"/>
              </w:rPr>
              <w:t>■</w:t>
            </w:r>
            <w:bookmarkEnd w:id="21"/>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2" w:name="二阶段勾选"/>
            <w:r>
              <w:rPr>
                <w:rFonts w:hint="eastAsia"/>
              </w:rPr>
              <w:t>□</w:t>
            </w:r>
            <w:bookmarkEnd w:id="22"/>
            <w:r>
              <w:rPr>
                <w:rFonts w:hint="eastAsia"/>
              </w:rPr>
              <w:t>初审二阶段</w:t>
            </w:r>
            <w:bookmarkStart w:id="23" w:name="监督勾选Add1"/>
            <w:r>
              <w:rPr>
                <w:rFonts w:hint="eastAsia"/>
              </w:rPr>
              <w:t>■</w:t>
            </w:r>
            <w:bookmarkEnd w:id="23"/>
            <w:r>
              <w:rPr>
                <w:rFonts w:hint="eastAsia"/>
              </w:rPr>
              <w:t>监督第</w:t>
            </w:r>
            <w:bookmarkStart w:id="24" w:name="监督次数"/>
            <w:r>
              <w:rPr>
                <w:rFonts w:hint="eastAsia"/>
              </w:rPr>
              <w:t>一</w:t>
            </w:r>
            <w:bookmarkEnd w:id="24"/>
            <w:r>
              <w:rPr>
                <w:rFonts w:hint="eastAsia"/>
              </w:rPr>
              <w:t>次监督审核</w:t>
            </w:r>
            <w:bookmarkStart w:id="25" w:name="再认证勾选"/>
            <w:r>
              <w:rPr>
                <w:rFonts w:hint="eastAsia"/>
              </w:rPr>
              <w:t>□</w:t>
            </w:r>
            <w:bookmarkEnd w:id="25"/>
            <w:r>
              <w:rPr>
                <w:rFonts w:hint="eastAsia"/>
              </w:rPr>
              <w:t>再认证</w:t>
            </w:r>
            <w:bookmarkStart w:id="26" w:name="扩项勾选Add1"/>
            <w:r>
              <w:rPr>
                <w:rFonts w:hint="eastAsia"/>
              </w:rPr>
              <w:t>□</w:t>
            </w:r>
            <w:bookmarkEnd w:id="26"/>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7" w:name="审核范围"/>
            <w:r>
              <w:t>Q：塑料编织袋（食品包装用除外），塑料集装袋、塑料打包带、AX级压力管道金属密封元件（限带加强环型金属缠绕垫片、基本型金属缠绕垫片、金属垫片）、AX级压力管道非金属密封元件（限非金属垫片、复合增强垫片、模压填料、编织填料）、滤袋、滤布的生产销售：道路危险货物运输（3类、4类）；乙腈的销售（仅限许可范围内）</w:t>
            </w:r>
          </w:p>
          <w:p>
            <w:r>
              <w:t>E：塑料编织袋（食品包装用除外），塑料集装袋、塑料打包带、AX级压力管道金属密封元件（限带加强环型金属缠绕垫片、基本型金属缠绕垫片、金属垫片）、AX级压力管道非金属密封元件（限非金属垫片、复合增强垫片、模压填料、编织填料）、滤袋、滤布的生产销售：道路危险货物运输（3类、4类）；乙腈的销售（仅限许可范围内）所涉及场所的相关环境管理活动</w:t>
            </w:r>
          </w:p>
          <w:p>
            <w:r>
              <w:t>O：塑料编织袋（食品包装用除外），塑料集装袋、塑料打包带、AX级压力管道金属密封元件（限带加强环型金属缠绕垫片、基本型金属缠绕垫片、金属垫片）、AX级压力管道非金属密封元件（限非金属垫片、复合增强垫片、模压填料、编织填料）、滤袋、滤布的生产销售：道路危险货物运输（3类、4类）；乙腈的销售（仅限许可范围内）所涉及场所的相关职业健康安全管理活动</w:t>
            </w:r>
            <w:bookmarkEnd w:id="27"/>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8" w:name="专业代码"/>
            <w:r>
              <w:t>Q：04.02.00;14.02.01;14.02.02;14.02.04;17.12.04;29.11.05;31.04.01</w:t>
            </w:r>
          </w:p>
          <w:p>
            <w:r>
              <w:t>E：04.02.00;14.02.01;14.02.02;14.02.04;17.12.04;29.11.05;31.04.01</w:t>
            </w:r>
          </w:p>
          <w:p>
            <w:r>
              <w:t>O：04.02.00;14.02.01;14.02.02;14.02.04;17.12.04;29.11.05;31.04.01</w:t>
            </w:r>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sym w:font="Wingdings 2" w:char="0052"/>
            </w:r>
            <w:r>
              <w:rPr>
                <w:rFonts w:hint="eastAsia"/>
              </w:rPr>
              <w:t>受审核组织按照顾客图纸和合同要求提供生产和服务</w:t>
            </w:r>
          </w:p>
          <w:p>
            <w:r>
              <w:rPr>
                <w:rFonts w:hint="eastAsia"/>
              </w:rPr>
              <w:sym w:font="Wingdings 2" w:char="0052"/>
            </w:r>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bookmarkStart w:id="29" w:name="体系运行时间"/>
            <w:r>
              <w:t xml:space="preserve">2020-11-06 </w:t>
            </w:r>
            <w:bookmarkEnd w:id="29"/>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b/>
                <w:sz w:val="20"/>
              </w:rPr>
              <w:t xml:space="preserve">2021年03月24日 </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2023</w:t>
            </w:r>
            <w:r>
              <w:rPr>
                <w:rFonts w:hint="eastAsia"/>
              </w:rPr>
              <w:t>年</w:t>
            </w:r>
            <w:r>
              <w:rPr>
                <w:rFonts w:hint="eastAsia"/>
                <w:lang w:val="en-US" w:eastAsia="zh-CN"/>
              </w:rPr>
              <w:t>4</w:t>
            </w:r>
            <w:r>
              <w:rPr>
                <w:rFonts w:hint="eastAsia"/>
              </w:rPr>
              <w:t>月日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037"/>
        <w:gridCol w:w="1478"/>
        <w:gridCol w:w="240"/>
        <w:gridCol w:w="515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1037" w:type="dxa"/>
            <w:shd w:val="clear" w:color="auto" w:fill="F3F3F3"/>
            <w:tcMar>
              <w:left w:w="57" w:type="dxa"/>
              <w:right w:w="57" w:type="dxa"/>
            </w:tcMar>
          </w:tcPr>
          <w:p>
            <w:r>
              <w:rPr>
                <w:rFonts w:hint="eastAsia"/>
              </w:rPr>
              <w:t>组织名称及注册场所地址</w:t>
            </w:r>
          </w:p>
        </w:tc>
        <w:tc>
          <w:tcPr>
            <w:tcW w:w="1478" w:type="dxa"/>
            <w:shd w:val="clear" w:color="auto" w:fill="F3F3F3"/>
            <w:tcMar>
              <w:left w:w="57" w:type="dxa"/>
              <w:right w:w="57" w:type="dxa"/>
            </w:tcMar>
          </w:tcPr>
          <w:p>
            <w:r>
              <w:rPr>
                <w:rFonts w:hint="eastAsia"/>
              </w:rPr>
              <w:t>经营场所的地址</w:t>
            </w:r>
          </w:p>
          <w:p>
            <w:r>
              <w:rPr>
                <w:rFonts w:hint="eastAsia"/>
              </w:rPr>
              <w:t>（多现场和临时现场）</w:t>
            </w:r>
          </w:p>
        </w:tc>
        <w:tc>
          <w:tcPr>
            <w:tcW w:w="240" w:type="dxa"/>
            <w:shd w:val="clear" w:color="auto" w:fill="F3F3F3"/>
            <w:tcMar>
              <w:left w:w="57" w:type="dxa"/>
              <w:right w:w="57" w:type="dxa"/>
            </w:tcMar>
          </w:tcPr>
          <w:p>
            <w:r>
              <w:rPr>
                <w:rFonts w:hint="eastAsia"/>
              </w:rPr>
              <w:t>员工人数</w:t>
            </w:r>
          </w:p>
        </w:tc>
        <w:tc>
          <w:tcPr>
            <w:tcW w:w="515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1037" w:type="dxa"/>
          </w:tcPr>
          <w:p>
            <w:r>
              <w:t>安庆市鑫华腈工贸有限责任公司</w:t>
            </w:r>
          </w:p>
          <w:p>
            <w:pPr>
              <w:pStyle w:val="13"/>
              <w:rPr>
                <w:lang w:val="de-DE" w:eastAsia="ja-JP"/>
              </w:rPr>
            </w:pPr>
            <w:r>
              <w:rPr>
                <w:rFonts w:asciiTheme="minorEastAsia" w:hAnsiTheme="minorEastAsia" w:eastAsiaTheme="minorEastAsia"/>
                <w:sz w:val="20"/>
              </w:rPr>
              <w:t>安徽省安庆市花亭路11号</w:t>
            </w:r>
          </w:p>
        </w:tc>
        <w:tc>
          <w:tcPr>
            <w:tcW w:w="1478" w:type="dxa"/>
          </w:tcPr>
          <w:p>
            <w:pPr>
              <w:rPr>
                <w:lang w:val="de-DE" w:eastAsia="ja-JP"/>
              </w:rPr>
            </w:pPr>
            <w:r>
              <w:rPr>
                <w:rFonts w:asciiTheme="minorEastAsia" w:hAnsiTheme="minorEastAsia" w:eastAsiaTheme="minorEastAsia"/>
                <w:sz w:val="20"/>
              </w:rPr>
              <w:t>安徽省安庆市大观区黄土坑西路116号</w:t>
            </w:r>
          </w:p>
        </w:tc>
        <w:tc>
          <w:tcPr>
            <w:tcW w:w="240" w:type="dxa"/>
            <w:vAlign w:val="center"/>
          </w:tcPr>
          <w:p>
            <w:pPr>
              <w:rPr>
                <w:rFonts w:hint="default" w:eastAsia="宋体"/>
                <w:lang w:val="en-US" w:eastAsia="zh-CN"/>
              </w:rPr>
            </w:pPr>
            <w:r>
              <w:rPr>
                <w:rFonts w:hint="eastAsia"/>
                <w:lang w:val="en-US" w:eastAsia="zh-CN"/>
              </w:rPr>
              <w:t>36</w:t>
            </w:r>
          </w:p>
        </w:tc>
        <w:tc>
          <w:tcPr>
            <w:tcW w:w="5153" w:type="dxa"/>
            <w:vAlign w:val="center"/>
          </w:tcPr>
          <w:p>
            <w:pPr>
              <w:rPr>
                <w:sz w:val="20"/>
              </w:rPr>
            </w:pPr>
            <w:r>
              <w:rPr>
                <w:sz w:val="20"/>
              </w:rPr>
              <w:t>Q：塑料编织袋（食品包装用除外），塑料集装袋、塑料打包带、AX级压力管道金属密封元件（限带加强环型金属缠绕垫片、基本型金属缠绕垫片、金属垫片）、AX级压力管道非金属密封元件（限非金属垫片、复合增强垫片、模压填料、编织填料）、滤袋、滤布的生产销售：道路危险货物运输（3类、4类）；乙腈的销售（仅限许可范围内）</w:t>
            </w:r>
          </w:p>
          <w:p>
            <w:pPr>
              <w:rPr>
                <w:sz w:val="20"/>
              </w:rPr>
            </w:pPr>
            <w:r>
              <w:rPr>
                <w:sz w:val="20"/>
              </w:rPr>
              <w:t>E：塑料编织袋（食品包装用除外），塑料集装袋、塑料打包带、AX级压力管道金属密封元件（限带加强环型金属缠绕垫片、基本型金属缠绕垫片、金属垫片）、AX级压力管道非金属密封元件（限非金属垫片、复合增强垫片、模压填料、编织填料）、滤袋、滤布的生产销售：道路危险货物运输（3类、4类）；乙腈的销售（仅限许可范围内）所涉及场所的相关环境管理活动</w:t>
            </w:r>
          </w:p>
          <w:p>
            <w:pPr>
              <w:rPr>
                <w:lang w:eastAsia="ja-JP"/>
              </w:rPr>
            </w:pPr>
            <w:r>
              <w:rPr>
                <w:sz w:val="20"/>
              </w:rPr>
              <w:t>O：塑料编织袋（食品包装用除外），塑料集装袋、塑料打包带、AX级压力管道金属密封元件（限带加强环型金属缠绕垫片、基本型金属缠绕垫片、金属垫片）、AX级压力管道非金属密封元件（限非金属垫片、复合增强垫片、模压填料、编织填料）、滤袋、滤布的生产销售：道路危险货物运输（3类、4类）；乙腈的销售（仅限许可范围内）所涉及场所的相关职业健康安全管理活动</w:t>
            </w:r>
          </w:p>
        </w:tc>
        <w:tc>
          <w:tcPr>
            <w:tcW w:w="669" w:type="dxa"/>
            <w:vAlign w:val="center"/>
          </w:tcPr>
          <w:p>
            <w:pPr>
              <w:rPr>
                <w:rFonts w:hint="eastAsia"/>
                <w:lang w:val="en-US" w:eastAsia="ja-JP"/>
              </w:rPr>
            </w:pPr>
            <w:r>
              <w:rPr>
                <w:rFonts w:hint="eastAsia"/>
                <w:lang w:val="de-DE" w:eastAsia="ja-JP"/>
              </w:rPr>
              <w:t>GB/T19001-2016、GB/T24001-2016、GB/T</w:t>
            </w:r>
            <w:r>
              <w:rPr>
                <w:rFonts w:hint="eastAsia"/>
                <w:lang w:val="en-US" w:eastAsia="ja-JP"/>
              </w:rPr>
              <w:t>45</w:t>
            </w:r>
            <w:r>
              <w:rPr>
                <w:rFonts w:hint="eastAsia"/>
                <w:lang w:val="de-DE" w:eastAsia="ja-JP"/>
              </w:rPr>
              <w:t>001-20</w:t>
            </w:r>
            <w:r>
              <w:rPr>
                <w:rFonts w:hint="eastAsia"/>
                <w:lang w:val="en-US" w:eastAsia="ja-JP"/>
              </w:rPr>
              <w:t>20</w:t>
            </w:r>
          </w:p>
          <w:p>
            <w:pPr>
              <w:rPr>
                <w:lang w:eastAsia="ja-JP"/>
              </w:rPr>
            </w:pPr>
          </w:p>
        </w:tc>
        <w:tc>
          <w:tcPr>
            <w:tcW w:w="668" w:type="dxa"/>
            <w:shd w:val="clear" w:color="auto" w:fill="FFFFFF"/>
            <w:vAlign w:val="top"/>
          </w:tcPr>
          <w:p>
            <w:pPr>
              <w:rPr>
                <w:rFonts w:hint="eastAsia" w:ascii="宋体" w:hAnsi="宋体"/>
                <w:b/>
                <w:color w:val="000000"/>
                <w:szCs w:val="21"/>
                <w:lang w:val="en-US" w:eastAsia="zh-CN"/>
              </w:rPr>
            </w:pPr>
            <w:r>
              <w:rPr>
                <w:rFonts w:eastAsia="黑体"/>
                <w:szCs w:val="21"/>
              </w:rPr>
              <w:sym w:font="Wingdings 2" w:char="0052"/>
            </w:r>
          </w:p>
          <w:p/>
        </w:tc>
      </w:tr>
    </w:tbl>
    <w:p/>
    <w:p>
      <w:r>
        <w:rPr>
          <w:rFonts w:hint="eastAsia"/>
        </w:rPr>
        <w:t>三、任何影响审核方案的重要事项：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张磊</w:t>
            </w:r>
          </w:p>
        </w:tc>
        <w:tc>
          <w:tcPr>
            <w:tcW w:w="1089" w:type="dxa"/>
            <w:vAlign w:val="center"/>
          </w:tcPr>
          <w:p>
            <w:r>
              <w:t>组长</w:t>
            </w:r>
          </w:p>
        </w:tc>
        <w:tc>
          <w:tcPr>
            <w:tcW w:w="711" w:type="dxa"/>
            <w:vAlign w:val="center"/>
          </w:tcPr>
          <w:p>
            <w:r>
              <w:t>男</w:t>
            </w:r>
          </w:p>
        </w:tc>
        <w:tc>
          <w:tcPr>
            <w:tcW w:w="3870" w:type="dxa"/>
            <w:vAlign w:val="center"/>
          </w:tcPr>
          <w:p>
            <w:r>
              <w:t>2019-N1QMS-1258213</w:t>
            </w:r>
          </w:p>
          <w:p>
            <w:r>
              <w:t>2020-N1EMS-1258213</w:t>
            </w:r>
          </w:p>
          <w:p>
            <w:r>
              <w:t>2020-N1OHSMS-1258213</w:t>
            </w:r>
          </w:p>
        </w:tc>
        <w:tc>
          <w:tcPr>
            <w:tcW w:w="2179" w:type="dxa"/>
            <w:vAlign w:val="center"/>
          </w:tcPr>
          <w:p>
            <w:r>
              <w:t>Q:14.02.01,14.02.02,14.02.04,17.12.04,29.11.05</w:t>
            </w:r>
          </w:p>
          <w:p>
            <w:r>
              <w:t>E:14.02.01,14.02.02,14.02.04,17.12.04,29.11.05</w:t>
            </w:r>
          </w:p>
          <w:p>
            <w:r>
              <w:t>O:14.02.01,14.02.02,14.02.04,17.12.04,29.11.05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马佳</w:t>
            </w:r>
          </w:p>
        </w:tc>
        <w:tc>
          <w:tcPr>
            <w:tcW w:w="1089" w:type="dxa"/>
            <w:vAlign w:val="center"/>
          </w:tcPr>
          <w:p>
            <w:r>
              <w:t>组员</w:t>
            </w:r>
          </w:p>
        </w:tc>
        <w:tc>
          <w:tcPr>
            <w:tcW w:w="711" w:type="dxa"/>
            <w:vAlign w:val="center"/>
          </w:tcPr>
          <w:p>
            <w:r>
              <w:t>女</w:t>
            </w:r>
          </w:p>
        </w:tc>
        <w:tc>
          <w:tcPr>
            <w:tcW w:w="3870" w:type="dxa"/>
            <w:vAlign w:val="center"/>
          </w:tcPr>
          <w:p>
            <w:r>
              <w:t>2022-N1QMS-3061499</w:t>
            </w:r>
          </w:p>
          <w:p>
            <w:r>
              <w:t>2021-N1EMS-4061499</w:t>
            </w:r>
          </w:p>
          <w:p>
            <w:r>
              <w:t>2021-N1OHSMS-4061499</w:t>
            </w:r>
          </w:p>
        </w:tc>
        <w:tc>
          <w:tcPr>
            <w:tcW w:w="2179" w:type="dxa"/>
            <w:vAlign w:val="center"/>
          </w:tcPr>
          <w:p>
            <w:r>
              <w:t>Q:04.02.00,31.04.01</w:t>
            </w:r>
          </w:p>
          <w:p>
            <w:r>
              <w:t>E:04.02.00,31.04.01</w:t>
            </w:r>
          </w:p>
          <w:p>
            <w:r>
              <w:t>O:04.02.00,31.04.01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r>
              <w:rPr>
                <w:rFonts w:hint="eastAsia"/>
                <w:lang w:val="en-US" w:eastAsia="zh-CN"/>
              </w:rPr>
              <w:t>无</w:t>
            </w: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w:t>
      </w:r>
      <w:r>
        <w:rPr>
          <w:rFonts w:hint="eastAsia"/>
        </w:rPr>
        <w:sym w:font="Wingdings 2" w:char="0052"/>
      </w:r>
      <w:r>
        <w:rPr>
          <w:rFonts w:hint="eastAsia"/>
        </w:rPr>
        <w:t>EMS</w:t>
      </w:r>
      <w:r>
        <w:rPr>
          <w:rFonts w:hint="eastAsia"/>
        </w:rPr>
        <w:sym w:font="Wingdings 2" w:char="0052"/>
      </w:r>
      <w:r>
        <w:rPr>
          <w:rFonts w:hint="eastAsia"/>
        </w:rPr>
        <w:t>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初审不符合现场查看已整改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vMerge w:val="restart"/>
          </w:tcPr>
          <w:p>
            <w:pPr>
              <w:rPr>
                <w:rFonts w:hint="eastAsia" w:eastAsia="宋体"/>
                <w:lang w:val="en-US" w:eastAsia="zh-CN"/>
              </w:rPr>
            </w:pPr>
            <w:r>
              <w:rPr>
                <w:rFonts w:hint="eastAsia"/>
                <w:lang w:val="en-US" w:eastAsia="zh-CN"/>
              </w:rPr>
              <w:t>1</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vMerge w:val="continue"/>
            <w:tcBorders/>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vMerge w:val="continue"/>
            <w:tcBorders/>
          </w:tcP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vMerge w:val="continue"/>
            <w:tcBorders/>
          </w:tcPr>
          <w:p/>
        </w:tc>
        <w:tc>
          <w:tcPr>
            <w:tcW w:w="2965" w:type="dxa"/>
          </w:tcPr>
          <w:p>
            <w:r>
              <w:rPr>
                <w:rFonts w:hint="eastAsia"/>
              </w:rPr>
              <w:sym w:font="Wingdings 2" w:char="0052"/>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0" w:name="Q勾选Add2"/>
            <w:r>
              <w:rPr>
                <w:rFonts w:hint="eastAsia"/>
              </w:rPr>
              <w:t>■</w:t>
            </w:r>
            <w:bookmarkEnd w:id="30"/>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1" w:name="E勾选Add2"/>
            <w:r>
              <w:rPr>
                <w:rFonts w:hint="eastAsia"/>
              </w:rPr>
              <w:t>■</w:t>
            </w:r>
            <w:bookmarkEnd w:id="31"/>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S勾选Add2"/>
            <w:r>
              <w:rPr>
                <w:rFonts w:hint="eastAsia"/>
              </w:rPr>
              <w:t>■</w:t>
            </w:r>
            <w:bookmarkEnd w:id="32"/>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eastAsiaTheme="minorEastAsia"/>
                <w:lang w:eastAsia="zh-CN"/>
              </w:rPr>
              <w:drawing>
                <wp:anchor distT="0" distB="0" distL="114300" distR="114300" simplePos="0" relativeHeight="251663360" behindDoc="0" locked="0" layoutInCell="1" allowOverlap="1">
                  <wp:simplePos x="0" y="0"/>
                  <wp:positionH relativeFrom="column">
                    <wp:posOffset>314960</wp:posOffset>
                  </wp:positionH>
                  <wp:positionV relativeFrom="paragraph">
                    <wp:posOffset>15875</wp:posOffset>
                  </wp:positionV>
                  <wp:extent cx="699135" cy="314325"/>
                  <wp:effectExtent l="0" t="0" r="12065" b="3175"/>
                  <wp:wrapNone/>
                  <wp:docPr id="1" name="图片 31" descr="35b3aafdf404ed4d0ef2157cff4e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1" descr="35b3aafdf404ed4d0ef2157cff4e447"/>
                          <pic:cNvPicPr>
                            <a:picLocks noChangeAspect="1"/>
                          </pic:cNvPicPr>
                        </pic:nvPicPr>
                        <pic:blipFill>
                          <a:blip r:embed="rId7"/>
                          <a:stretch>
                            <a:fillRect/>
                          </a:stretch>
                        </pic:blipFill>
                        <pic:spPr>
                          <a:xfrm>
                            <a:off x="0" y="0"/>
                            <a:ext cx="699135" cy="314325"/>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2022.4.30</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rPr>
          <w:shd w:val="clear" w:color="FFFFFF" w:fill="D9D9D9"/>
        </w:rPr>
      </w:pPr>
      <w:r>
        <w:rPr>
          <w:shd w:val="clear" w:color="FFFFFF" w:fill="D9D9D9"/>
        </w:rPr>
        <w:t>附件ISO 9001:2015 (若不是ISO 9001:2015审核请删除)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52"/>
            </w:r>
            <w:r>
              <w:rPr>
                <w:rFonts w:hint="eastAsia"/>
              </w:rPr>
              <w:t>QMS体系建立以来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市场拓展</w:t>
            </w:r>
            <w:r>
              <w:rPr>
                <w:rFonts w:hint="eastAsia"/>
              </w:rPr>
              <w:sym w:font="Wingdings 2" w:char="0052"/>
            </w:r>
            <w:r>
              <w:rPr>
                <w:rFonts w:hint="eastAsia"/>
              </w:rPr>
              <w:t>设备能力</w:t>
            </w:r>
            <w:r>
              <w:rPr>
                <w:rFonts w:hint="eastAsia"/>
              </w:rPr>
              <w:sym w:font="Wingdings 2" w:char="0052"/>
            </w:r>
            <w:r>
              <w:rPr>
                <w:rFonts w:hint="eastAsia"/>
              </w:rPr>
              <w:t>人员能力</w:t>
            </w:r>
            <w:r>
              <w:rPr>
                <w:rFonts w:hint="eastAsia"/>
              </w:rPr>
              <w:sym w:font="Wingdings 2" w:char="0052"/>
            </w:r>
            <w:r>
              <w:rPr>
                <w:rFonts w:hint="eastAsia"/>
              </w:rPr>
              <w:t>检测水平</w:t>
            </w:r>
            <w:r>
              <w:rPr>
                <w:rFonts w:hint="eastAsia"/>
              </w:rPr>
              <w:sym w:font="Wingdings 2" w:char="0052"/>
            </w:r>
            <w:r>
              <w:rPr>
                <w:rFonts w:hint="eastAsia"/>
              </w:rPr>
              <w:t>合同评审□知识保密</w:t>
            </w:r>
          </w:p>
          <w:p>
            <w:pPr>
              <w:shd w:val="clear" w:color="auto" w:fill="C7DAF1" w:themeFill="text2" w:themeFillTint="32"/>
              <w:spacing w:before="40" w:after="40"/>
            </w:pPr>
            <w:r>
              <w:rPr>
                <w:rFonts w:hint="eastAsia"/>
              </w:rPr>
              <w:sym w:font="Wingdings 2" w:char="0052"/>
            </w:r>
            <w:r>
              <w:rPr>
                <w:rFonts w:hint="eastAsia"/>
              </w:rPr>
              <w:t>新产品设计开发</w:t>
            </w:r>
            <w:r>
              <w:rPr>
                <w:rFonts w:hint="eastAsia"/>
              </w:rPr>
              <w:sym w:font="Wingdings 2" w:char="0052"/>
            </w:r>
            <w:r>
              <w:rPr>
                <w:rFonts w:hint="eastAsia"/>
              </w:rPr>
              <w:t>原材料采购</w:t>
            </w:r>
            <w:r>
              <w:rPr>
                <w:rFonts w:hint="eastAsia"/>
              </w:rPr>
              <w:sym w:font="Wingdings 2" w:char="0052"/>
            </w:r>
            <w:r>
              <w:rPr>
                <w:rFonts w:hint="eastAsia"/>
              </w:rPr>
              <w:t>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lang w:eastAsia="zh-CN"/>
              </w:rPr>
            </w:pPr>
            <w:r>
              <w:rPr>
                <w:rFonts w:hint="eastAsia"/>
              </w:rPr>
              <w:t>最高管理者制定了文件化的</w:t>
            </w:r>
            <w:r>
              <w:rPr>
                <w:rFonts w:hint="eastAsia"/>
                <w:lang w:eastAsia="zh-CN"/>
              </w:rPr>
              <w:t>管理体系方针：以人为本  守法经营  和谐发展 科学管理  求实创新  创建一流</w:t>
            </w:r>
          </w:p>
          <w:p>
            <w:pPr>
              <w:pStyle w:val="13"/>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办公室</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54"/>
              <w:gridCol w:w="2963"/>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4" w:type="dxa"/>
                </w:tcPr>
                <w:p>
                  <w:pPr>
                    <w:shd w:val="clear" w:color="auto" w:fill="C7DAF1" w:themeFill="text2" w:themeFillTint="32"/>
                  </w:pPr>
                  <w:r>
                    <w:rPr>
                      <w:rFonts w:hint="eastAsia"/>
                    </w:rPr>
                    <w:t>主要的风险或机遇描述</w:t>
                  </w:r>
                </w:p>
              </w:tc>
              <w:tc>
                <w:tcPr>
                  <w:tcW w:w="2963" w:type="dxa"/>
                </w:tcPr>
                <w:p>
                  <w:pPr>
                    <w:shd w:val="clear" w:color="auto" w:fill="C7DAF1" w:themeFill="text2" w:themeFillTint="32"/>
                  </w:pPr>
                  <w:r>
                    <w:rPr>
                      <w:rFonts w:hint="eastAsia"/>
                    </w:rPr>
                    <w:t>应对措施</w:t>
                  </w:r>
                </w:p>
              </w:tc>
              <w:tc>
                <w:tcPr>
                  <w:tcW w:w="1005"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4" w:type="dxa"/>
                </w:tcPr>
                <w:p>
                  <w:pPr>
                    <w:shd w:val="clear" w:color="auto" w:fill="C7DAF1" w:themeFill="text2" w:themeFillTint="32"/>
                  </w:pPr>
                  <w:r>
                    <w:rPr>
                      <w:rFonts w:hint="eastAsia"/>
                    </w:rPr>
                    <w:t>产品质量风险是指在生产经营活动中，因质量管理体系不健全、执行和监督不到位，导致采购的产品质量不合格或存在质量问题，不能满足公司生产经营需要，影响公司生产经营正常运行的风险</w:t>
                  </w:r>
                </w:p>
              </w:tc>
              <w:tc>
                <w:tcPr>
                  <w:tcW w:w="2963" w:type="dxa"/>
                </w:tcPr>
                <w:p>
                  <w:pPr>
                    <w:shd w:val="clear" w:color="auto" w:fill="C7DAF1" w:themeFill="text2" w:themeFillTint="32"/>
                  </w:pPr>
                  <w:r>
                    <w:rPr>
                      <w:rFonts w:hint="eastAsia"/>
                    </w:rPr>
                    <w:t>建立和运行（基础设施管理程序）、（监视和测量资源管理程序）（不合格输出控制程序）</w:t>
                  </w:r>
                </w:p>
              </w:tc>
              <w:tc>
                <w:tcPr>
                  <w:tcW w:w="1005" w:type="dxa"/>
                </w:tcPr>
                <w:p>
                  <w:pPr>
                    <w:shd w:val="clear" w:color="auto" w:fill="C7DAF1" w:themeFill="text2"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4" w:type="dxa"/>
                </w:tcPr>
                <w:p>
                  <w:pPr>
                    <w:shd w:val="clear" w:color="auto" w:fill="C7DAF1" w:themeFill="text2" w:themeFillTint="32"/>
                  </w:pPr>
                  <w:r>
                    <w:rPr>
                      <w:rFonts w:hint="eastAsia"/>
                    </w:rPr>
                    <w:t>信息管理风险是指未能及时准确获取公司内、外部与经营有关的信息或由于信息管理及保密措施不当给公司造成各方面损失的风险。</w:t>
                  </w:r>
                </w:p>
              </w:tc>
              <w:tc>
                <w:tcPr>
                  <w:tcW w:w="2963" w:type="dxa"/>
                </w:tcPr>
                <w:p>
                  <w:pPr>
                    <w:shd w:val="clear" w:color="auto" w:fill="C7DAF1" w:themeFill="text2" w:themeFillTint="32"/>
                    <w:rPr>
                      <w:rFonts w:hint="default" w:eastAsia="宋体"/>
                      <w:lang w:val="en-US" w:eastAsia="zh-CN"/>
                    </w:rPr>
                  </w:pPr>
                  <w:r>
                    <w:rPr>
                      <w:rFonts w:hint="eastAsia"/>
                      <w:lang w:val="en-US" w:eastAsia="zh-CN"/>
                    </w:rPr>
                    <w:t>对相关信息进行搜集更新，定期进行评价</w:t>
                  </w:r>
                </w:p>
              </w:tc>
              <w:tc>
                <w:tcPr>
                  <w:tcW w:w="1005" w:type="dxa"/>
                </w:tcPr>
                <w:p>
                  <w:pPr>
                    <w:shd w:val="clear" w:color="auto" w:fill="C7DAF1" w:themeFill="text2"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4" w:type="dxa"/>
                </w:tcPr>
                <w:p>
                  <w:pPr>
                    <w:shd w:val="clear" w:color="auto" w:fill="C7DAF1" w:themeFill="text2" w:themeFillTint="32"/>
                  </w:pPr>
                </w:p>
              </w:tc>
              <w:tc>
                <w:tcPr>
                  <w:tcW w:w="2963" w:type="dxa"/>
                </w:tcPr>
                <w:p>
                  <w:pPr>
                    <w:shd w:val="clear" w:color="auto" w:fill="C7DAF1" w:themeFill="text2" w:themeFillTint="32"/>
                  </w:pPr>
                </w:p>
              </w:tc>
              <w:tc>
                <w:tcPr>
                  <w:tcW w:w="1005"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4" w:type="dxa"/>
                </w:tcPr>
                <w:p>
                  <w:pPr>
                    <w:shd w:val="clear" w:color="auto" w:fill="C7DAF1" w:themeFill="text2" w:themeFillTint="32"/>
                  </w:pPr>
                </w:p>
              </w:tc>
              <w:tc>
                <w:tcPr>
                  <w:tcW w:w="2963" w:type="dxa"/>
                </w:tcPr>
                <w:p>
                  <w:pPr>
                    <w:shd w:val="clear" w:color="auto" w:fill="C7DAF1" w:themeFill="text2" w:themeFillTint="32"/>
                  </w:pPr>
                </w:p>
              </w:tc>
              <w:tc>
                <w:tcPr>
                  <w:tcW w:w="1005"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1220"/>
              <w:gridCol w:w="3050"/>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rPr>
                  </w:pPr>
                  <w:r>
                    <w:rPr>
                      <w:rFonts w:hint="eastAsia"/>
                      <w:color w:val="000000"/>
                      <w:szCs w:val="18"/>
                    </w:rPr>
                    <w:t>目标</w:t>
                  </w:r>
                </w:p>
              </w:tc>
              <w:tc>
                <w:tcPr>
                  <w:tcW w:w="1387" w:type="dxa"/>
                </w:tcPr>
                <w:p>
                  <w:pPr>
                    <w:widowControl/>
                    <w:spacing w:before="40"/>
                    <w:jc w:val="left"/>
                    <w:rPr>
                      <w:color w:val="000000"/>
                      <w:szCs w:val="18"/>
                    </w:rPr>
                  </w:pPr>
                  <w:r>
                    <w:rPr>
                      <w:rFonts w:hint="eastAsia"/>
                      <w:color w:val="000000"/>
                      <w:szCs w:val="18"/>
                    </w:rPr>
                    <w:t>考核频次</w:t>
                  </w:r>
                </w:p>
              </w:tc>
              <w:tc>
                <w:tcPr>
                  <w:tcW w:w="3499" w:type="dxa"/>
                </w:tcPr>
                <w:p>
                  <w:pPr>
                    <w:widowControl/>
                    <w:spacing w:before="40"/>
                    <w:jc w:val="left"/>
                    <w:rPr>
                      <w:color w:val="000000"/>
                      <w:szCs w:val="18"/>
                    </w:rPr>
                  </w:pPr>
                  <w:r>
                    <w:rPr>
                      <w:rFonts w:hint="eastAsia"/>
                      <w:color w:val="000000"/>
                      <w:szCs w:val="18"/>
                    </w:rPr>
                    <w:t>计算方法</w:t>
                  </w:r>
                </w:p>
              </w:tc>
              <w:tc>
                <w:tcPr>
                  <w:tcW w:w="2444" w:type="dxa"/>
                </w:tcPr>
                <w:p>
                  <w:pPr>
                    <w:widowControl/>
                    <w:spacing w:before="40"/>
                    <w:jc w:val="left"/>
                    <w:rPr>
                      <w:color w:val="000000"/>
                      <w:szCs w:val="18"/>
                    </w:rPr>
                  </w:pPr>
                  <w:r>
                    <w:rPr>
                      <w:rFonts w:hint="eastAsia"/>
                      <w:color w:val="000000"/>
                      <w:szCs w:val="18"/>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rFonts w:hint="eastAsia"/>
                      <w:color w:val="000000"/>
                      <w:szCs w:val="18"/>
                    </w:rPr>
                  </w:pPr>
                  <w:r>
                    <w:rPr>
                      <w:rFonts w:hint="eastAsia"/>
                      <w:color w:val="000000"/>
                      <w:szCs w:val="18"/>
                    </w:rPr>
                    <w:t>成品一次性交验合格率≥9</w:t>
                  </w:r>
                  <w:r>
                    <w:rPr>
                      <w:rFonts w:hint="eastAsia"/>
                      <w:color w:val="000000"/>
                      <w:szCs w:val="18"/>
                      <w:lang w:val="en-US" w:eastAsia="zh-CN"/>
                    </w:rPr>
                    <w:t>6</w:t>
                  </w:r>
                  <w:r>
                    <w:rPr>
                      <w:rFonts w:hint="eastAsia"/>
                      <w:color w:val="000000"/>
                      <w:szCs w:val="18"/>
                    </w:rPr>
                    <w:t>%</w:t>
                  </w:r>
                </w:p>
              </w:tc>
              <w:tc>
                <w:tcPr>
                  <w:tcW w:w="1387" w:type="dxa"/>
                </w:tcPr>
                <w:p>
                  <w:pPr>
                    <w:widowControl/>
                    <w:spacing w:before="40"/>
                    <w:jc w:val="left"/>
                    <w:rPr>
                      <w:rFonts w:hint="default"/>
                      <w:color w:val="000000"/>
                      <w:szCs w:val="18"/>
                      <w:lang w:val="en-US" w:eastAsia="zh-CN"/>
                    </w:rPr>
                  </w:pPr>
                  <w:r>
                    <w:rPr>
                      <w:rFonts w:hint="eastAsia"/>
                      <w:color w:val="000000"/>
                      <w:szCs w:val="18"/>
                      <w:lang w:val="en-US" w:eastAsia="zh-CN"/>
                    </w:rPr>
                    <w:t>全年保持</w:t>
                  </w:r>
                </w:p>
              </w:tc>
              <w:tc>
                <w:tcPr>
                  <w:tcW w:w="3499" w:type="dxa"/>
                </w:tcPr>
                <w:p>
                  <w:pPr>
                    <w:widowControl/>
                    <w:spacing w:before="40"/>
                    <w:jc w:val="left"/>
                    <w:rPr>
                      <w:rFonts w:hint="eastAsia"/>
                      <w:color w:val="000000"/>
                      <w:szCs w:val="18"/>
                    </w:rPr>
                  </w:pPr>
                  <w:r>
                    <w:rPr>
                      <w:rFonts w:hint="eastAsia"/>
                      <w:color w:val="000000"/>
                      <w:szCs w:val="18"/>
                    </w:rPr>
                    <w:t>合格率＝交验合格数÷交验总数×100%</w:t>
                  </w:r>
                </w:p>
              </w:tc>
              <w:tc>
                <w:tcPr>
                  <w:tcW w:w="2444" w:type="dxa"/>
                </w:tcPr>
                <w:p>
                  <w:pPr>
                    <w:widowControl/>
                    <w:spacing w:before="40"/>
                    <w:jc w:val="left"/>
                    <w:rPr>
                      <w:rFonts w:hint="default"/>
                      <w:color w:val="000000"/>
                      <w:szCs w:val="18"/>
                      <w:lang w:val="en-US" w:eastAsia="zh-CN"/>
                    </w:rPr>
                  </w:pPr>
                  <w:r>
                    <w:rPr>
                      <w:rFonts w:hint="eastAsia"/>
                      <w:color w:val="000000"/>
                      <w:szCs w:val="18"/>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rFonts w:hint="eastAsia"/>
                      <w:color w:val="000000"/>
                      <w:szCs w:val="18"/>
                    </w:rPr>
                  </w:pPr>
                  <w:r>
                    <w:rPr>
                      <w:rFonts w:hint="eastAsia"/>
                      <w:color w:val="000000"/>
                      <w:szCs w:val="18"/>
                    </w:rPr>
                    <w:t>顾客满意率≥9</w:t>
                  </w:r>
                  <w:r>
                    <w:rPr>
                      <w:rFonts w:hint="eastAsia"/>
                      <w:color w:val="000000"/>
                      <w:szCs w:val="18"/>
                      <w:lang w:val="en-US" w:eastAsia="zh-CN"/>
                    </w:rPr>
                    <w:t>0</w:t>
                  </w:r>
                  <w:r>
                    <w:rPr>
                      <w:rFonts w:hint="eastAsia"/>
                      <w:color w:val="000000"/>
                      <w:szCs w:val="18"/>
                    </w:rPr>
                    <w:t>%</w:t>
                  </w:r>
                </w:p>
              </w:tc>
              <w:tc>
                <w:tcPr>
                  <w:tcW w:w="1387" w:type="dxa"/>
                </w:tcPr>
                <w:p>
                  <w:pPr>
                    <w:widowControl/>
                    <w:spacing w:before="40"/>
                    <w:jc w:val="left"/>
                    <w:rPr>
                      <w:rFonts w:hint="eastAsia"/>
                      <w:color w:val="000000"/>
                      <w:szCs w:val="18"/>
                      <w:lang w:val="en-US" w:eastAsia="zh-CN"/>
                    </w:rPr>
                  </w:pPr>
                  <w:r>
                    <w:rPr>
                      <w:rFonts w:hint="eastAsia"/>
                      <w:color w:val="000000"/>
                      <w:szCs w:val="18"/>
                      <w:lang w:val="en-US" w:eastAsia="zh-CN"/>
                    </w:rPr>
                    <w:t>每年</w:t>
                  </w:r>
                </w:p>
              </w:tc>
              <w:tc>
                <w:tcPr>
                  <w:tcW w:w="3499" w:type="dxa"/>
                </w:tcPr>
                <w:p>
                  <w:pPr>
                    <w:widowControl/>
                    <w:spacing w:before="40"/>
                    <w:jc w:val="left"/>
                    <w:rPr>
                      <w:rFonts w:hint="eastAsia"/>
                      <w:color w:val="000000"/>
                      <w:szCs w:val="18"/>
                    </w:rPr>
                  </w:pPr>
                  <w:r>
                    <w:rPr>
                      <w:rFonts w:hint="eastAsia"/>
                      <w:color w:val="000000"/>
                      <w:szCs w:val="18"/>
                    </w:rPr>
                    <w:t>满意率＝顾客满意分数总数÷总分数×100%</w:t>
                  </w:r>
                </w:p>
              </w:tc>
              <w:tc>
                <w:tcPr>
                  <w:tcW w:w="2444" w:type="dxa"/>
                </w:tcPr>
                <w:p>
                  <w:pPr>
                    <w:widowControl/>
                    <w:spacing w:before="40"/>
                    <w:jc w:val="left"/>
                    <w:rPr>
                      <w:rFonts w:hint="eastAsia"/>
                      <w:color w:val="000000"/>
                      <w:szCs w:val="18"/>
                    </w:rPr>
                  </w:pPr>
                  <w:r>
                    <w:rPr>
                      <w:rFonts w:hint="eastAsia"/>
                      <w:color w:val="000000"/>
                      <w:szCs w:val="18"/>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rFonts w:hint="eastAsia"/>
                      <w:color w:val="000000"/>
                      <w:szCs w:val="18"/>
                    </w:rPr>
                  </w:pPr>
                  <w:r>
                    <w:rPr>
                      <w:rFonts w:hint="eastAsia" w:ascii="宋体" w:hAnsi="宋体" w:eastAsia="宋体" w:cs="宋体"/>
                      <w:bCs/>
                      <w:color w:val="auto"/>
                      <w:sz w:val="21"/>
                      <w:szCs w:val="21"/>
                    </w:rPr>
                    <w:t>出厂产品合格率100％</w:t>
                  </w:r>
                </w:p>
              </w:tc>
              <w:tc>
                <w:tcPr>
                  <w:tcW w:w="1387" w:type="dxa"/>
                </w:tcPr>
                <w:p>
                  <w:pPr>
                    <w:widowControl/>
                    <w:spacing w:before="40"/>
                    <w:jc w:val="left"/>
                    <w:rPr>
                      <w:rFonts w:hint="default"/>
                      <w:color w:val="000000"/>
                      <w:szCs w:val="18"/>
                      <w:lang w:val="en-US" w:eastAsia="zh-CN"/>
                    </w:rPr>
                  </w:pPr>
                  <w:r>
                    <w:rPr>
                      <w:rFonts w:hint="eastAsia"/>
                      <w:color w:val="000000"/>
                      <w:szCs w:val="18"/>
                      <w:lang w:val="en-US" w:eastAsia="zh-CN"/>
                    </w:rPr>
                    <w:t>全年保持</w:t>
                  </w:r>
                </w:p>
              </w:tc>
              <w:tc>
                <w:tcPr>
                  <w:tcW w:w="3499" w:type="dxa"/>
                </w:tcPr>
                <w:p>
                  <w:pPr>
                    <w:widowControl/>
                    <w:spacing w:before="40"/>
                    <w:jc w:val="left"/>
                    <w:rPr>
                      <w:rFonts w:hint="eastAsia"/>
                      <w:color w:val="000000"/>
                      <w:szCs w:val="18"/>
                    </w:rPr>
                  </w:pPr>
                  <w:r>
                    <w:rPr>
                      <w:rFonts w:hint="eastAsia"/>
                      <w:color w:val="000000"/>
                      <w:szCs w:val="18"/>
                      <w:lang w:val="en-US" w:eastAsia="zh-CN"/>
                    </w:rPr>
                    <w:t>合格率</w:t>
                  </w:r>
                  <w:r>
                    <w:rPr>
                      <w:rFonts w:hint="eastAsia"/>
                      <w:color w:val="000000"/>
                      <w:szCs w:val="18"/>
                    </w:rPr>
                    <w:t>＝</w:t>
                  </w:r>
                  <w:r>
                    <w:rPr>
                      <w:rFonts w:hint="eastAsia"/>
                      <w:color w:val="000000"/>
                      <w:szCs w:val="18"/>
                      <w:lang w:val="en-US" w:eastAsia="zh-CN"/>
                    </w:rPr>
                    <w:t>产品合格出场</w:t>
                  </w:r>
                  <w:r>
                    <w:rPr>
                      <w:rFonts w:hint="eastAsia"/>
                      <w:color w:val="000000"/>
                      <w:szCs w:val="18"/>
                    </w:rPr>
                    <w:t>总数÷</w:t>
                  </w:r>
                  <w:r>
                    <w:rPr>
                      <w:rFonts w:hint="eastAsia"/>
                      <w:color w:val="000000"/>
                      <w:szCs w:val="18"/>
                      <w:lang w:val="en-US" w:eastAsia="zh-CN"/>
                    </w:rPr>
                    <w:t>生产产品</w:t>
                  </w:r>
                  <w:r>
                    <w:rPr>
                      <w:rFonts w:hint="eastAsia"/>
                      <w:color w:val="000000"/>
                      <w:szCs w:val="18"/>
                    </w:rPr>
                    <w:t>总数×100%</w:t>
                  </w:r>
                </w:p>
              </w:tc>
              <w:tc>
                <w:tcPr>
                  <w:tcW w:w="2444" w:type="dxa"/>
                </w:tcPr>
                <w:p>
                  <w:pPr>
                    <w:widowControl/>
                    <w:spacing w:before="40"/>
                    <w:jc w:val="left"/>
                    <w:rPr>
                      <w:rFonts w:hint="default"/>
                      <w:color w:val="000000"/>
                      <w:szCs w:val="18"/>
                      <w:lang w:val="en-US" w:eastAsia="zh-CN"/>
                    </w:rPr>
                  </w:pPr>
                  <w:r>
                    <w:rPr>
                      <w:rFonts w:hint="eastAsia"/>
                      <w:color w:val="000000"/>
                      <w:szCs w:val="18"/>
                      <w:lang w:val="en-US" w:eastAsia="zh-CN"/>
                    </w:rPr>
                    <w:t>完成</w:t>
                  </w:r>
                </w:p>
              </w:tc>
            </w:tr>
          </w:tbl>
          <w:p>
            <w:pPr>
              <w:shd w:val="clear" w:color="auto" w:fill="C7DAF1" w:themeFill="text2" w:themeFillTint="32"/>
            </w:pPr>
            <w:r>
              <w:rPr>
                <w:rFonts w:hint="eastAsia" w:ascii="Wingdings" w:hAnsi="Wingdings"/>
                <w:lang w:eastAsia="zh-CN"/>
              </w:rPr>
              <w:sym w:font="Wingdings 2" w:char="0052"/>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eastAsia="宋体"/>
                <w:lang w:val="en-US" w:eastAsia="zh-CN"/>
              </w:rPr>
            </w:pPr>
            <w:r>
              <w:rPr>
                <w:rFonts w:hint="eastAsia"/>
              </w:rPr>
              <w:t>组织对相关管理体系进行变更时，变更应按所策划的方式实施；审核周期内的重大变更有：</w:t>
            </w:r>
            <w:r>
              <w:rPr>
                <w:rFonts w:hint="eastAsia"/>
                <w:lang w:val="en-US" w:eastAsia="zh-CN"/>
              </w:rPr>
              <w:t>无</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建筑面积1.8万平方米；生产车间</w:t>
            </w:r>
            <w:r>
              <w:rPr>
                <w:rFonts w:hint="eastAsia"/>
                <w:lang w:val="en-US" w:eastAsia="zh-CN"/>
              </w:rPr>
              <w:t>2</w:t>
            </w:r>
            <w:r>
              <w:rPr>
                <w:rFonts w:hint="eastAsia"/>
              </w:rPr>
              <w:t>个；库房</w:t>
            </w:r>
            <w:r>
              <w:rPr>
                <w:rFonts w:hint="eastAsia"/>
                <w:lang w:val="en-US" w:eastAsia="zh-CN"/>
              </w:rPr>
              <w:t>2</w:t>
            </w:r>
            <w:r>
              <w:rPr>
                <w:rFonts w:hint="eastAsia"/>
              </w:rPr>
              <w:t>个；实验室</w:t>
            </w:r>
            <w:r>
              <w:rPr>
                <w:rFonts w:hint="eastAsia"/>
                <w:lang w:val="en-US" w:eastAsia="zh-CN"/>
              </w:rPr>
              <w:t>1</w:t>
            </w:r>
            <w:r>
              <w:rPr>
                <w:rFonts w:hint="eastAsia"/>
              </w:rPr>
              <w:t>个；</w:t>
            </w:r>
          </w:p>
          <w:p>
            <w:pPr>
              <w:shd w:val="clear" w:color="auto" w:fill="C7DAF1" w:themeFill="text2" w:themeFillTint="32"/>
              <w:rPr>
                <w:u w:val="single"/>
              </w:rPr>
            </w:pPr>
            <w:r>
              <w:rPr>
                <w:rFonts w:hint="eastAsia"/>
              </w:rPr>
              <w:t>主要生产设备有：</w:t>
            </w:r>
            <w:r>
              <w:rPr>
                <w:rFonts w:hint="eastAsia"/>
                <w:u w:val="single"/>
                <w:lang w:val="en-US" w:eastAsia="zh-CN"/>
              </w:rPr>
              <w:t xml:space="preserve">  切割机床、液晶投影机、剪刀机、立式钻床、缝包机、工业缝纫机</w:t>
            </w:r>
            <w:r>
              <w:rPr>
                <w:rFonts w:hint="eastAsia"/>
                <w:u w:val="single"/>
              </w:rPr>
              <w:t>（</w:t>
            </w:r>
            <w:r>
              <w:rPr>
                <w:rFonts w:hint="eastAsia"/>
                <w:u w:val="single"/>
                <w:lang w:val="en-US" w:eastAsia="zh-CN"/>
              </w:rPr>
              <w:t xml:space="preserve"> </w:t>
            </w:r>
            <w:r>
              <w:rPr>
                <w:rFonts w:hint="eastAsia"/>
                <w:u w:val="single"/>
              </w:rPr>
              <w:t>2~4种）</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sym w:font="Wingdings 2" w:char="00A3"/>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sym w:font="Wingdings 2" w:char="0052"/>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sym w:font="Wingdings 2" w:char="00A3"/>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sym w:font="Wingdings 2" w:char="0052"/>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lang w:val="en-US" w:eastAsia="zh-CN"/>
              </w:rPr>
              <w:t xml:space="preserve"> 轮廓仪、平面测量仪、手持XRF分析仪（</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sym w:font="Wingdings 2" w:char="0052"/>
            </w:r>
            <w:r>
              <w:rPr>
                <w:rFonts w:hint="eastAsia"/>
              </w:rPr>
              <w:t>加工工艺</w:t>
            </w:r>
            <w:r>
              <w:rPr>
                <w:rFonts w:hint="eastAsia" w:ascii="Wingdings" w:hAnsi="Wingdings"/>
                <w:lang w:eastAsia="zh-CN"/>
              </w:rPr>
              <w:sym w:font="Wingdings 2" w:char="0052"/>
            </w:r>
            <w:r>
              <w:rPr>
                <w:rFonts w:hint="eastAsia"/>
              </w:rPr>
              <w:t>生产经验</w:t>
            </w:r>
            <w:r>
              <w:rPr>
                <w:rFonts w:hint="eastAsia" w:ascii="Wingdings" w:hAnsi="Wingdings"/>
                <w:lang w:eastAsia="zh-CN"/>
              </w:rPr>
              <w:sym w:font="Wingdings 2" w:char="0052"/>
            </w:r>
            <w:r>
              <w:rPr>
                <w:rFonts w:hint="eastAsia"/>
              </w:rPr>
              <w:t>管理软件</w:t>
            </w:r>
            <w:r>
              <w:rPr>
                <w:rFonts w:hint="eastAsia" w:ascii="Wingdings" w:hAnsi="Wingdings"/>
                <w:lang w:eastAsia="zh-CN"/>
              </w:rPr>
              <w:sym w:font="Wingdings 2" w:char="0052"/>
            </w:r>
            <w:r>
              <w:rPr>
                <w:rFonts w:hint="eastAsia"/>
              </w:rPr>
              <w:t>市场预测</w:t>
            </w:r>
            <w:r>
              <w:rPr>
                <w:rFonts w:hint="eastAsia" w:ascii="Wingdings" w:hAnsi="Wingdings"/>
                <w:lang w:eastAsia="zh-CN"/>
              </w:rPr>
              <w:sym w:font="Wingdings 2" w:char="0052"/>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sym w:font="Wingdings 2" w:char="0052"/>
            </w:r>
            <w:r>
              <w:rPr>
                <w:rFonts w:hint="eastAsia"/>
              </w:rPr>
              <w:t>顾客提供资料</w:t>
            </w:r>
            <w:r>
              <w:rPr>
                <w:rFonts w:hint="eastAsia" w:ascii="Wingdings" w:hAnsi="Wingdings"/>
                <w:lang w:eastAsia="zh-CN"/>
              </w:rPr>
              <w:sym w:font="Wingdings 2" w:char="0052"/>
            </w:r>
            <w:r>
              <w:rPr>
                <w:rFonts w:hint="eastAsia"/>
              </w:rPr>
              <w:t>产品标准</w:t>
            </w:r>
            <w:r>
              <w:rPr>
                <w:rFonts w:hint="eastAsia" w:ascii="Wingdings" w:hAnsi="Wingdings"/>
                <w:lang w:eastAsia="zh-CN"/>
              </w:rPr>
              <w:sym w:font="Wingdings 2" w:char="0052"/>
            </w:r>
            <w:r>
              <w:rPr>
                <w:rFonts w:hint="eastAsia"/>
              </w:rPr>
              <w:t>学术交流信息</w:t>
            </w:r>
            <w:r>
              <w:rPr>
                <w:rFonts w:hint="eastAsia" w:ascii="Wingdings" w:hAnsi="Wingdings"/>
                <w:lang w:eastAsia="zh-CN"/>
              </w:rPr>
              <w:sym w:font="Wingdings 2" w:char="0052"/>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sym w:font="Wingdings 2" w:char="0052"/>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sym w:font="Wingdings 2" w:char="0052"/>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看板</w:t>
            </w:r>
            <w:r>
              <w:rPr>
                <w:rFonts w:hint="eastAsia" w:ascii="Wingdings" w:hAnsi="Wingdings"/>
                <w:lang w:eastAsia="zh-CN"/>
              </w:rPr>
              <w:sym w:font="Wingdings 2" w:char="0052"/>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rPr>
                <w:rFonts w:hint="default" w:eastAsia="宋体"/>
                <w:lang w:val="en-US" w:eastAsia="zh-CN"/>
              </w:rPr>
            </w:pPr>
            <w:r>
              <w:rPr>
                <w:rFonts w:hint="eastAsia"/>
              </w:rPr>
              <w:t>□法律法规获取充分，</w:t>
            </w:r>
            <w:r>
              <w:rPr>
                <w:rFonts w:hint="eastAsia"/>
              </w:rPr>
              <w:sym w:font="Wingdings 2" w:char="0052"/>
            </w:r>
            <w:r>
              <w:rPr>
                <w:rFonts w:hint="eastAsia"/>
              </w:rPr>
              <w:t>法律法规获取有遗漏，缺少：</w:t>
            </w:r>
            <w:r>
              <w:rPr>
                <w:rFonts w:hint="eastAsia"/>
                <w:lang w:val="en-US" w:eastAsia="zh-CN"/>
              </w:rPr>
              <w:t>产品执行的相关标准</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sym w:font="Wingdings 2" w:char="0052"/>
            </w:r>
            <w:r>
              <w:rPr>
                <w:rFonts w:hint="eastAsia"/>
              </w:rPr>
              <w:t>检测计划</w:t>
            </w:r>
            <w:r>
              <w:rPr>
                <w:rFonts w:hint="eastAsia" w:ascii="Wingdings" w:hAnsi="Wingdings"/>
                <w:lang w:eastAsia="zh-CN"/>
              </w:rPr>
              <w:sym w:font="Wingdings 2" w:char="0052"/>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sym w:font="Wingdings 2" w:char="0052"/>
            </w:r>
            <w:r>
              <w:rPr>
                <w:rFonts w:hint="eastAsia"/>
              </w:rPr>
              <w:t>企业标准</w:t>
            </w:r>
            <w:r>
              <w:rPr>
                <w:rFonts w:hint="eastAsia" w:ascii="Wingdings" w:hAnsi="Wingdings"/>
                <w:lang w:eastAsia="zh-CN"/>
              </w:rPr>
              <w:sym w:font="Wingdings 2" w:char="0052"/>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w:t>
            </w:r>
            <w:r>
              <w:rPr>
                <w:rFonts w:hint="eastAsia"/>
                <w:lang w:eastAsia="zh-CN"/>
              </w:rPr>
              <w:t>项目名称：昆明兰博面包工坊食品有限公司 招牌鲜奶土司袋（</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2"/>
              <w:gridCol w:w="271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shd w:val="clear" w:color="auto" w:fill="C7DAF1" w:themeFill="text2" w:themeFillTint="32"/>
                    <w:jc w:val="left"/>
                  </w:pPr>
                  <w:r>
                    <w:rPr>
                      <w:rFonts w:hint="eastAsia"/>
                    </w:rPr>
                    <w:t>产品/服务名称</w:t>
                  </w:r>
                </w:p>
              </w:tc>
              <w:tc>
                <w:tcPr>
                  <w:tcW w:w="271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shd w:val="clear" w:color="auto" w:fill="C7DAF1" w:themeFill="text2" w:themeFillTint="32"/>
                    <w:jc w:val="left"/>
                  </w:pPr>
                  <w:r>
                    <w:rPr>
                      <w:sz w:val="20"/>
                    </w:rPr>
                    <w:t>塑料编织袋（食品包装用除外），塑料集装袋、塑料打包带、AX级压力管道金属密封元件（限带加强环型金属缠绕垫片、基本型金属缠绕垫片、金属垫片）、AX级压力管道非金属密封元件（限非金属垫片、复合增强垫片、模压填料、编织填料）、滤袋、滤布的生产销售：道路危险货物运输（3类、4类）；乙腈的销售</w:t>
                  </w:r>
                </w:p>
              </w:tc>
              <w:tc>
                <w:tcPr>
                  <w:tcW w:w="2715" w:type="dxa"/>
                </w:tcPr>
                <w:p>
                  <w:pPr>
                    <w:shd w:val="clear" w:color="auto" w:fill="C7DAF1" w:themeFill="text2" w:themeFillTint="32"/>
                    <w:jc w:val="left"/>
                  </w:pPr>
                  <w:r>
                    <w:rPr>
                      <w:rFonts w:hint="eastAsia" w:ascii="宋体" w:hAnsi="宋体"/>
                      <w:color w:val="000000"/>
                      <w:sz w:val="20"/>
                      <w:szCs w:val="20"/>
                      <w:lang w:val="en-US" w:eastAsia="zh-CN"/>
                    </w:rPr>
                    <w:t>金属和非金属垫片的下料过程</w:t>
                  </w:r>
                </w:p>
              </w:tc>
              <w:tc>
                <w:tcPr>
                  <w:tcW w:w="3265" w:type="dxa"/>
                </w:tcPr>
                <w:p>
                  <w:pPr>
                    <w:shd w:val="clear" w:color="auto" w:fill="C7DAF1" w:themeFill="text2" w:themeFillTint="32"/>
                    <w:jc w:val="left"/>
                  </w:pPr>
                  <w:r>
                    <w:rPr>
                      <w:rFonts w:hint="eastAsia" w:ascii="宋体" w:hAnsi="宋体" w:eastAsia="宋体" w:cs="宋体"/>
                      <w:color w:val="000000"/>
                      <w:kern w:val="0"/>
                      <w:sz w:val="19"/>
                      <w:szCs w:val="19"/>
                      <w:lang w:val="en-US" w:eastAsia="zh-CN" w:bidi="ar"/>
                    </w:rPr>
                    <w:t>温度、压力、时间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shd w:val="clear" w:color="auto" w:fill="C7DAF1" w:themeFill="text2" w:themeFillTint="32"/>
                    <w:jc w:val="left"/>
                  </w:pPr>
                </w:p>
              </w:tc>
              <w:tc>
                <w:tcPr>
                  <w:tcW w:w="271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42" w:type="dxa"/>
                </w:tcPr>
                <w:p>
                  <w:pPr>
                    <w:shd w:val="clear" w:color="auto" w:fill="C7DAF1" w:themeFill="text2" w:themeFillTint="32"/>
                    <w:jc w:val="left"/>
                  </w:pPr>
                </w:p>
              </w:tc>
              <w:tc>
                <w:tcPr>
                  <w:tcW w:w="271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rPr>
                <w:color w:val="FF0000"/>
              </w:rPr>
            </w:pPr>
            <w:r>
              <w:rPr>
                <w:rFonts w:hint="eastAsia"/>
              </w:rPr>
              <w:t>需要确认的过程：</w:t>
            </w:r>
            <w:r>
              <w:rPr>
                <w:rFonts w:hint="eastAsia" w:ascii="宋体" w:hAnsi="宋体"/>
                <w:color w:val="000000"/>
                <w:sz w:val="20"/>
                <w:szCs w:val="20"/>
                <w:lang w:val="en-US" w:eastAsia="zh-CN"/>
              </w:rPr>
              <w:t>缠绕和热处理过程</w:t>
            </w:r>
          </w:p>
          <w:p>
            <w:pPr>
              <w:shd w:val="clear" w:color="auto" w:fill="C7DAF1" w:themeFill="text2" w:themeFillTint="32"/>
              <w:jc w:val="left"/>
            </w:pPr>
            <w:r>
              <w:rPr>
                <w:rFonts w:hint="eastAsia" w:ascii="Wingdings" w:hAnsi="Wingdings"/>
                <w:lang w:eastAsia="zh-CN"/>
              </w:rPr>
              <w:sym w:font="Wingdings 2" w:char="0052"/>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sym w:font="Wingdings 2" w:char="0052"/>
            </w:r>
            <w:r>
              <w:rPr>
                <w:rFonts w:hint="eastAsia"/>
              </w:rPr>
              <w:t>标签</w:t>
            </w:r>
            <w:r>
              <w:rPr>
                <w:rFonts w:hint="eastAsia" w:ascii="Wingdings" w:hAnsi="Wingdings"/>
                <w:lang w:eastAsia="zh-CN"/>
              </w:rPr>
              <w:sym w:font="Wingdings 2" w:char="0052"/>
            </w:r>
            <w:r>
              <w:rPr>
                <w:rFonts w:hint="eastAsia"/>
              </w:rPr>
              <w:t>标牌</w:t>
            </w:r>
            <w:r>
              <w:rPr>
                <w:rFonts w:hint="eastAsia" w:ascii="Wingdings" w:hAnsi="Wingdings"/>
                <w:lang w:eastAsia="zh-CN"/>
              </w:rPr>
              <w:sym w:font="Wingdings 2" w:char="0052"/>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sym w:font="Wingdings 2" w:char="0052"/>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sym w:font="Wingdings 2" w:char="0052"/>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sym w:font="Wingdings 2" w:char="0052"/>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sym w:font="Wingdings 2" w:char="0052"/>
            </w:r>
            <w:r>
              <w:rPr>
                <w:rFonts w:hint="eastAsia"/>
              </w:rPr>
              <w:t>进货检验</w:t>
            </w:r>
            <w:r>
              <w:rPr>
                <w:rFonts w:hint="eastAsia" w:ascii="Wingdings" w:hAnsi="Wingdings"/>
                <w:lang w:eastAsia="zh-CN"/>
              </w:rPr>
              <w:sym w:font="Wingdings 2" w:char="0052"/>
            </w:r>
            <w:r>
              <w:rPr>
                <w:rFonts w:hint="eastAsia"/>
              </w:rPr>
              <w:t>首件检验</w:t>
            </w:r>
            <w:r>
              <w:rPr>
                <w:rFonts w:hint="eastAsia" w:ascii="Wingdings" w:hAnsi="Wingdings"/>
                <w:lang w:eastAsia="zh-CN"/>
              </w:rPr>
              <w:sym w:font="Wingdings 2" w:char="0052"/>
            </w:r>
            <w:r>
              <w:rPr>
                <w:rFonts w:hint="eastAsia"/>
              </w:rPr>
              <w:t>过程检验</w:t>
            </w:r>
            <w:r>
              <w:rPr>
                <w:rFonts w:hint="eastAsia" w:ascii="Wingdings" w:hAnsi="Wingdings"/>
                <w:lang w:eastAsia="zh-CN"/>
              </w:rPr>
              <w:sym w:font="Wingdings 2" w:char="0052"/>
            </w:r>
            <w:r>
              <w:rPr>
                <w:rFonts w:hint="eastAsia"/>
              </w:rPr>
              <w:t>最终检验</w:t>
            </w:r>
            <w:r>
              <w:rPr>
                <w:rFonts w:hint="eastAsia" w:ascii="Wingdings" w:hAnsi="Wingdings"/>
                <w:lang w:eastAsia="zh-CN"/>
              </w:rPr>
              <w:sym w:font="Wingdings 2" w:char="00A3"/>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sym w:font="Wingdings 2" w:char="0052"/>
            </w:r>
            <w:r>
              <w:rPr>
                <w:rFonts w:hint="eastAsia"/>
              </w:rPr>
              <w:t>顾客调查</w:t>
            </w:r>
            <w:r>
              <w:rPr>
                <w:rFonts w:hint="eastAsia" w:ascii="Wingdings" w:hAnsi="Wingdings"/>
                <w:lang w:eastAsia="zh-CN"/>
              </w:rPr>
              <w:sym w:font="Wingdings 2" w:char="0052"/>
            </w:r>
            <w:r>
              <w:rPr>
                <w:rFonts w:hint="eastAsia"/>
              </w:rPr>
              <w:t>顾客对交付产品或服务的反馈</w:t>
            </w:r>
            <w:r>
              <w:rPr>
                <w:rFonts w:hint="eastAsia" w:ascii="Wingdings" w:hAnsi="Wingdings"/>
                <w:lang w:eastAsia="zh-CN"/>
              </w:rPr>
              <w:sym w:font="Wingdings 2" w:char="0052"/>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w:t>
            </w:r>
            <w:r>
              <w:rPr>
                <w:rFonts w:hint="eastAsia"/>
                <w:lang w:eastAsia="zh-CN"/>
              </w:rPr>
              <w:t>年度策划于2022年1月20日-21日实施了</w:t>
            </w:r>
            <w:r>
              <w:rPr>
                <w:rFonts w:hint="eastAsia"/>
              </w:rPr>
              <w:t>质量管理体系内部审核，对质量管理体系的符合性和有效性进行了审核。</w:t>
            </w:r>
            <w:r>
              <w:rPr>
                <w:rFonts w:hint="eastAsia"/>
                <w:lang w:eastAsia="zh-CN"/>
              </w:rPr>
              <w:t>内审发现的2项</w:t>
            </w:r>
            <w:r>
              <w:rPr>
                <w:rFonts w:hint="eastAsia"/>
              </w:rPr>
              <w:t>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w:t>
            </w:r>
            <w:r>
              <w:rPr>
                <w:rFonts w:hint="eastAsia"/>
                <w:lang w:eastAsia="zh-CN"/>
              </w:rPr>
              <w:t>在2022年2月23日对组织的</w:t>
            </w:r>
            <w:r>
              <w:rPr>
                <w:rFonts w:hint="eastAsia"/>
              </w:rPr>
              <w:t>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sym w:font="Wingdings 2" w:char="0052"/>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sym w:font="Wingdings 2" w:char="0052"/>
            </w:r>
            <w:r>
              <w:rPr>
                <w:rFonts w:hint="eastAsia"/>
              </w:rPr>
              <w:t>顾客投诉</w:t>
            </w:r>
            <w:r>
              <w:rPr>
                <w:rFonts w:hint="eastAsia" w:ascii="Wingdings" w:hAnsi="Wingdings"/>
                <w:lang w:eastAsia="zh-CN"/>
              </w:rPr>
              <w:sym w:font="Wingdings 2" w:char="0052"/>
            </w:r>
            <w:r>
              <w:rPr>
                <w:rFonts w:hint="eastAsia"/>
              </w:rPr>
              <w:t>顾客满意调查</w:t>
            </w:r>
          </w:p>
          <w:p>
            <w:pPr>
              <w:shd w:val="clear" w:color="auto" w:fill="C7DAF1" w:themeFill="text2"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color w:val="auto"/>
                <w:lang w:eastAsia="ja-JP"/>
              </w:rPr>
            </w:pPr>
            <w:r>
              <w:rPr>
                <w:rFonts w:hint="eastAsia"/>
                <w:color w:val="auto"/>
                <w:lang w:val="en-US" w:eastAsia="zh-CN"/>
              </w:rPr>
              <w:t>1</w:t>
            </w:r>
          </w:p>
        </w:tc>
        <w:tc>
          <w:tcPr>
            <w:tcW w:w="650" w:type="dxa"/>
            <w:vAlign w:val="center"/>
          </w:tcPr>
          <w:p>
            <w:pPr>
              <w:shd w:val="clear" w:color="auto" w:fill="C7DAF1" w:themeFill="text2" w:themeFillTint="32"/>
              <w:rPr>
                <w:color w:val="auto"/>
                <w:lang w:eastAsia="ja-JP"/>
              </w:rPr>
            </w:pPr>
            <w:r>
              <w:rPr>
                <w:rFonts w:hint="eastAsia"/>
                <w:color w:val="auto"/>
                <w:lang w:val="en-US" w:eastAsia="zh-CN"/>
              </w:rPr>
              <w:t>1</w:t>
            </w:r>
          </w:p>
        </w:tc>
        <w:tc>
          <w:tcPr>
            <w:tcW w:w="650" w:type="dxa"/>
            <w:vAlign w:val="center"/>
          </w:tcPr>
          <w:p>
            <w:pPr>
              <w:shd w:val="clear" w:color="auto" w:fill="C7DAF1" w:themeFill="text2" w:themeFillTint="32"/>
              <w:rPr>
                <w:color w:val="auto"/>
                <w:lang w:eastAsia="ja-JP"/>
              </w:rPr>
            </w:pPr>
            <w:r>
              <w:rPr>
                <w:rFonts w:hint="eastAsia"/>
                <w:color w:val="auto"/>
                <w:lang w:val="en-US" w:eastAsia="zh-CN"/>
              </w:rPr>
              <w:t>1</w:t>
            </w:r>
          </w:p>
        </w:tc>
        <w:tc>
          <w:tcPr>
            <w:tcW w:w="649" w:type="dxa"/>
            <w:vAlign w:val="center"/>
          </w:tcPr>
          <w:p>
            <w:pPr>
              <w:shd w:val="clear" w:color="auto" w:fill="C7DAF1" w:themeFill="text2" w:themeFillTint="32"/>
              <w:rPr>
                <w:color w:val="auto"/>
                <w:lang w:eastAsia="ja-JP"/>
              </w:rPr>
            </w:pPr>
            <w:r>
              <w:rPr>
                <w:rFonts w:hint="eastAsia"/>
                <w:color w:val="auto"/>
                <w:lang w:val="en-US" w:eastAsia="zh-CN"/>
              </w:rPr>
              <w:t>1</w:t>
            </w:r>
          </w:p>
        </w:tc>
        <w:tc>
          <w:tcPr>
            <w:tcW w:w="650" w:type="dxa"/>
            <w:vAlign w:val="center"/>
          </w:tcPr>
          <w:p>
            <w:pPr>
              <w:shd w:val="clear" w:color="auto" w:fill="C7DAF1" w:themeFill="text2" w:themeFillTint="32"/>
              <w:rPr>
                <w:color w:val="auto"/>
                <w:lang w:eastAsia="ja-JP"/>
              </w:rPr>
            </w:pPr>
            <w:r>
              <w:rPr>
                <w:rFonts w:hint="eastAsia"/>
                <w:color w:val="auto"/>
                <w:lang w:val="en-US" w:eastAsia="zh-CN"/>
              </w:rPr>
              <w:t>1</w:t>
            </w:r>
          </w:p>
        </w:tc>
        <w:tc>
          <w:tcPr>
            <w:tcW w:w="650" w:type="dxa"/>
            <w:vAlign w:val="center"/>
          </w:tcPr>
          <w:p>
            <w:pPr>
              <w:shd w:val="clear" w:color="auto" w:fill="C7DAF1" w:themeFill="text2" w:themeFillTint="32"/>
              <w:rPr>
                <w:color w:val="auto"/>
                <w:lang w:eastAsia="ja-JP"/>
              </w:rPr>
            </w:pPr>
            <w:r>
              <w:rPr>
                <w:rFonts w:hint="eastAsia"/>
                <w:color w:val="auto"/>
                <w:lang w:val="en-US" w:eastAsia="zh-CN"/>
              </w:rPr>
              <w:t>1</w:t>
            </w:r>
          </w:p>
        </w:tc>
        <w:tc>
          <w:tcPr>
            <w:tcW w:w="649" w:type="dxa"/>
            <w:vAlign w:val="center"/>
          </w:tcPr>
          <w:p>
            <w:pPr>
              <w:shd w:val="clear" w:color="auto" w:fill="C7DAF1" w:themeFill="text2" w:themeFillTint="32"/>
              <w:rPr>
                <w:color w:val="auto"/>
                <w:lang w:eastAsia="ja-JP"/>
              </w:rPr>
            </w:pPr>
            <w:r>
              <w:rPr>
                <w:rFonts w:hint="eastAsia"/>
                <w:color w:val="auto"/>
                <w:lang w:val="en-US" w:eastAsia="zh-CN"/>
              </w:rPr>
              <w:t>1</w:t>
            </w:r>
          </w:p>
        </w:tc>
        <w:tc>
          <w:tcPr>
            <w:tcW w:w="650" w:type="dxa"/>
            <w:vAlign w:val="center"/>
          </w:tcPr>
          <w:p>
            <w:pPr>
              <w:shd w:val="clear" w:color="auto" w:fill="C7DAF1" w:themeFill="text2" w:themeFillTint="32"/>
              <w:rPr>
                <w:color w:val="FF0000"/>
                <w:lang w:eastAsia="ja-JP"/>
              </w:rPr>
            </w:pPr>
            <w:r>
              <w:rPr>
                <w:rFonts w:hint="eastAsia"/>
                <w:color w:val="FF0000"/>
                <w:lang w:val="en-US" w:eastAsia="zh-CN"/>
              </w:rPr>
              <w:t>1</w:t>
            </w:r>
          </w:p>
        </w:tc>
        <w:tc>
          <w:tcPr>
            <w:tcW w:w="650" w:type="dxa"/>
            <w:vAlign w:val="center"/>
          </w:tcPr>
          <w:p>
            <w:pPr>
              <w:shd w:val="clear" w:color="auto" w:fill="C7DAF1" w:themeFill="text2" w:themeFillTint="32"/>
              <w:rPr>
                <w:color w:val="FF0000"/>
                <w:lang w:eastAsia="ja-JP"/>
              </w:rPr>
            </w:pPr>
            <w:r>
              <w:rPr>
                <w:rFonts w:hint="eastAsia"/>
                <w:color w:val="FF0000"/>
                <w:lang w:val="en-US" w:eastAsia="zh-CN"/>
              </w:rPr>
              <w:t>1</w:t>
            </w:r>
          </w:p>
        </w:tc>
        <w:tc>
          <w:tcPr>
            <w:tcW w:w="649" w:type="dxa"/>
            <w:vAlign w:val="center"/>
          </w:tcPr>
          <w:p>
            <w:pPr>
              <w:shd w:val="clear" w:color="auto" w:fill="C7DAF1" w:themeFill="text2" w:themeFillTint="32"/>
              <w:rPr>
                <w:color w:val="FF0000"/>
                <w:lang w:eastAsia="ja-JP"/>
              </w:rPr>
            </w:pPr>
            <w:r>
              <w:rPr>
                <w:rFonts w:hint="eastAsia"/>
                <w:color w:val="FF0000"/>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color w:val="auto"/>
                <w:lang w:eastAsia="ja-JP"/>
              </w:rPr>
            </w:pPr>
          </w:p>
        </w:tc>
        <w:tc>
          <w:tcPr>
            <w:tcW w:w="650" w:type="dxa"/>
            <w:vAlign w:val="center"/>
          </w:tcPr>
          <w:p>
            <w:pPr>
              <w:shd w:val="clear" w:color="auto" w:fill="C7DAF1" w:themeFill="text2" w:themeFillTint="32"/>
              <w:rPr>
                <w:color w:val="auto"/>
                <w:lang w:eastAsia="ja-JP"/>
              </w:rPr>
            </w:pPr>
          </w:p>
        </w:tc>
        <w:tc>
          <w:tcPr>
            <w:tcW w:w="650" w:type="dxa"/>
            <w:vAlign w:val="center"/>
          </w:tcPr>
          <w:p>
            <w:pPr>
              <w:shd w:val="clear" w:color="auto" w:fill="C7DAF1" w:themeFill="text2" w:themeFillTint="32"/>
              <w:rPr>
                <w:color w:val="auto"/>
                <w:lang w:eastAsia="ja-JP"/>
              </w:rPr>
            </w:pPr>
          </w:p>
        </w:tc>
        <w:tc>
          <w:tcPr>
            <w:tcW w:w="649" w:type="dxa"/>
            <w:vAlign w:val="center"/>
          </w:tcPr>
          <w:p>
            <w:pPr>
              <w:shd w:val="clear" w:color="auto" w:fill="C7DAF1" w:themeFill="text2" w:themeFillTint="32"/>
              <w:rPr>
                <w:color w:val="auto"/>
                <w:lang w:eastAsia="ja-JP"/>
              </w:rPr>
            </w:pPr>
          </w:p>
        </w:tc>
        <w:tc>
          <w:tcPr>
            <w:tcW w:w="650" w:type="dxa"/>
            <w:vAlign w:val="center"/>
          </w:tcPr>
          <w:p>
            <w:pPr>
              <w:shd w:val="clear" w:color="auto" w:fill="C7DAF1" w:themeFill="text2" w:themeFillTint="32"/>
              <w:rPr>
                <w:color w:val="auto"/>
                <w:lang w:eastAsia="ja-JP"/>
              </w:rPr>
            </w:pPr>
          </w:p>
        </w:tc>
        <w:tc>
          <w:tcPr>
            <w:tcW w:w="650" w:type="dxa"/>
            <w:vAlign w:val="center"/>
          </w:tcPr>
          <w:p>
            <w:pPr>
              <w:shd w:val="clear" w:color="auto" w:fill="C7DAF1" w:themeFill="text2" w:themeFillTint="32"/>
              <w:rPr>
                <w:color w:val="auto"/>
                <w:lang w:eastAsia="ja-JP"/>
              </w:rPr>
            </w:pPr>
          </w:p>
        </w:tc>
        <w:tc>
          <w:tcPr>
            <w:tcW w:w="649" w:type="dxa"/>
            <w:vAlign w:val="center"/>
          </w:tcPr>
          <w:p>
            <w:pPr>
              <w:shd w:val="clear" w:color="auto" w:fill="C7DAF1" w:themeFill="text2" w:themeFillTint="32"/>
              <w:rPr>
                <w:color w:val="auto"/>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color w:val="auto"/>
                <w:lang w:eastAsia="ja-JP"/>
              </w:rPr>
            </w:pPr>
            <w:r>
              <w:rPr>
                <w:rFonts w:hint="eastAsia"/>
                <w:color w:val="auto"/>
              </w:rPr>
              <w:t>7.1</w:t>
            </w:r>
          </w:p>
        </w:tc>
        <w:tc>
          <w:tcPr>
            <w:tcW w:w="650" w:type="dxa"/>
            <w:vAlign w:val="center"/>
          </w:tcPr>
          <w:p>
            <w:pPr>
              <w:shd w:val="clear" w:color="auto" w:fill="C7DAF1" w:themeFill="text2" w:themeFillTint="32"/>
              <w:rPr>
                <w:color w:val="auto"/>
                <w:lang w:eastAsia="ja-JP"/>
              </w:rPr>
            </w:pPr>
            <w:r>
              <w:rPr>
                <w:rFonts w:hint="eastAsia"/>
                <w:color w:val="auto"/>
              </w:rPr>
              <w:t>7.2</w:t>
            </w:r>
          </w:p>
        </w:tc>
        <w:tc>
          <w:tcPr>
            <w:tcW w:w="650" w:type="dxa"/>
            <w:vAlign w:val="center"/>
          </w:tcPr>
          <w:p>
            <w:pPr>
              <w:shd w:val="clear" w:color="auto" w:fill="C7DAF1" w:themeFill="text2" w:themeFillTint="32"/>
              <w:rPr>
                <w:color w:val="auto"/>
                <w:lang w:eastAsia="ja-JP"/>
              </w:rPr>
            </w:pPr>
            <w:r>
              <w:rPr>
                <w:rFonts w:hint="eastAsia"/>
                <w:color w:val="auto"/>
              </w:rPr>
              <w:t>7.3</w:t>
            </w:r>
          </w:p>
        </w:tc>
        <w:tc>
          <w:tcPr>
            <w:tcW w:w="649" w:type="dxa"/>
            <w:vAlign w:val="center"/>
          </w:tcPr>
          <w:p>
            <w:pPr>
              <w:shd w:val="clear" w:color="auto" w:fill="C7DAF1" w:themeFill="text2" w:themeFillTint="32"/>
              <w:rPr>
                <w:color w:val="auto"/>
                <w:lang w:eastAsia="ja-JP"/>
              </w:rPr>
            </w:pPr>
            <w:r>
              <w:rPr>
                <w:rFonts w:hint="eastAsia"/>
                <w:color w:val="auto"/>
              </w:rPr>
              <w:t>7.4</w:t>
            </w:r>
          </w:p>
        </w:tc>
        <w:tc>
          <w:tcPr>
            <w:tcW w:w="650" w:type="dxa"/>
            <w:vAlign w:val="center"/>
          </w:tcPr>
          <w:p>
            <w:pPr>
              <w:shd w:val="clear" w:color="auto" w:fill="C7DAF1" w:themeFill="text2" w:themeFillTint="32"/>
              <w:rPr>
                <w:color w:val="auto"/>
                <w:lang w:eastAsia="ja-JP"/>
              </w:rPr>
            </w:pPr>
            <w:r>
              <w:rPr>
                <w:rFonts w:hint="eastAsia"/>
                <w:color w:val="auto"/>
              </w:rPr>
              <w:t>7.5</w:t>
            </w:r>
          </w:p>
        </w:tc>
        <w:tc>
          <w:tcPr>
            <w:tcW w:w="650" w:type="dxa"/>
            <w:vAlign w:val="center"/>
          </w:tcPr>
          <w:p>
            <w:pPr>
              <w:shd w:val="clear" w:color="auto" w:fill="C7DAF1" w:themeFill="text2" w:themeFillTint="32"/>
              <w:rPr>
                <w:color w:val="auto"/>
                <w:lang w:eastAsia="ja-JP"/>
              </w:rPr>
            </w:pPr>
            <w:r>
              <w:rPr>
                <w:rFonts w:hint="eastAsia"/>
                <w:color w:val="auto"/>
              </w:rPr>
              <w:t>8.1</w:t>
            </w:r>
          </w:p>
        </w:tc>
        <w:tc>
          <w:tcPr>
            <w:tcW w:w="649" w:type="dxa"/>
            <w:vAlign w:val="center"/>
          </w:tcPr>
          <w:p>
            <w:pPr>
              <w:shd w:val="clear" w:color="auto" w:fill="C7DAF1" w:themeFill="text2" w:themeFillTint="32"/>
              <w:rPr>
                <w:color w:val="auto"/>
                <w:lang w:eastAsia="ja-JP"/>
              </w:rPr>
            </w:pPr>
            <w:r>
              <w:rPr>
                <w:rFonts w:hint="eastAsia"/>
                <w:color w:val="auto"/>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color w:val="auto"/>
                <w:lang w:eastAsia="ja-JP"/>
              </w:rPr>
            </w:pPr>
            <w:r>
              <w:rPr>
                <w:rFonts w:hint="eastAsia"/>
                <w:color w:val="auto"/>
                <w:lang w:val="en-US" w:eastAsia="zh-CN"/>
              </w:rPr>
              <w:t>3</w:t>
            </w:r>
          </w:p>
        </w:tc>
        <w:tc>
          <w:tcPr>
            <w:tcW w:w="650" w:type="dxa"/>
            <w:vAlign w:val="center"/>
          </w:tcPr>
          <w:p>
            <w:pPr>
              <w:shd w:val="clear" w:color="auto" w:fill="C7DAF1" w:themeFill="text2" w:themeFillTint="32"/>
              <w:rPr>
                <w:color w:val="auto"/>
                <w:lang w:eastAsia="ja-JP"/>
              </w:rPr>
            </w:pPr>
            <w:r>
              <w:rPr>
                <w:rFonts w:hint="eastAsia"/>
                <w:color w:val="auto"/>
                <w:lang w:val="en-US" w:eastAsia="zh-CN"/>
              </w:rPr>
              <w:t>1</w:t>
            </w:r>
          </w:p>
        </w:tc>
        <w:tc>
          <w:tcPr>
            <w:tcW w:w="650" w:type="dxa"/>
            <w:vAlign w:val="center"/>
          </w:tcPr>
          <w:p>
            <w:pPr>
              <w:shd w:val="clear" w:color="auto" w:fill="C7DAF1" w:themeFill="text2" w:themeFillTint="32"/>
              <w:rPr>
                <w:color w:val="auto"/>
                <w:lang w:eastAsia="ja-JP"/>
              </w:rPr>
            </w:pPr>
            <w:r>
              <w:rPr>
                <w:rFonts w:hint="eastAsia"/>
                <w:color w:val="auto"/>
                <w:lang w:val="en-US" w:eastAsia="zh-CN"/>
              </w:rPr>
              <w:t>1</w:t>
            </w:r>
          </w:p>
        </w:tc>
        <w:tc>
          <w:tcPr>
            <w:tcW w:w="649" w:type="dxa"/>
            <w:vAlign w:val="center"/>
          </w:tcPr>
          <w:p>
            <w:pPr>
              <w:shd w:val="clear" w:color="auto" w:fill="C7DAF1" w:themeFill="text2" w:themeFillTint="32"/>
              <w:rPr>
                <w:color w:val="auto"/>
                <w:lang w:eastAsia="ja-JP"/>
              </w:rPr>
            </w:pPr>
            <w:r>
              <w:rPr>
                <w:rFonts w:hint="eastAsia"/>
                <w:color w:val="auto"/>
                <w:lang w:val="en-US" w:eastAsia="zh-CN"/>
              </w:rPr>
              <w:t>1</w:t>
            </w:r>
          </w:p>
        </w:tc>
        <w:tc>
          <w:tcPr>
            <w:tcW w:w="650" w:type="dxa"/>
            <w:vAlign w:val="center"/>
          </w:tcPr>
          <w:p>
            <w:pPr>
              <w:shd w:val="clear" w:color="auto" w:fill="C7DAF1" w:themeFill="text2" w:themeFillTint="32"/>
              <w:rPr>
                <w:color w:val="auto"/>
                <w:lang w:eastAsia="ja-JP"/>
              </w:rPr>
            </w:pPr>
            <w:r>
              <w:rPr>
                <w:rFonts w:hint="eastAsia"/>
                <w:color w:val="auto"/>
                <w:lang w:val="en-US" w:eastAsia="zh-CN"/>
              </w:rPr>
              <w:t>1</w:t>
            </w:r>
          </w:p>
        </w:tc>
        <w:tc>
          <w:tcPr>
            <w:tcW w:w="650" w:type="dxa"/>
            <w:vAlign w:val="center"/>
          </w:tcPr>
          <w:p>
            <w:pPr>
              <w:shd w:val="clear" w:color="auto" w:fill="C7DAF1" w:themeFill="text2" w:themeFillTint="32"/>
              <w:rPr>
                <w:color w:val="auto"/>
                <w:lang w:eastAsia="ja-JP"/>
              </w:rPr>
            </w:pPr>
            <w:r>
              <w:rPr>
                <w:rFonts w:hint="eastAsia"/>
                <w:color w:val="auto"/>
                <w:lang w:val="en-US" w:eastAsia="zh-CN"/>
              </w:rPr>
              <w:t>1</w:t>
            </w:r>
          </w:p>
        </w:tc>
        <w:tc>
          <w:tcPr>
            <w:tcW w:w="649" w:type="dxa"/>
            <w:vAlign w:val="center"/>
          </w:tcPr>
          <w:p>
            <w:pPr>
              <w:shd w:val="clear" w:color="auto" w:fill="C7DAF1" w:themeFill="text2" w:themeFillTint="32"/>
              <w:rPr>
                <w:color w:val="auto"/>
                <w:lang w:eastAsia="ja-JP"/>
              </w:rPr>
            </w:pPr>
            <w:r>
              <w:rPr>
                <w:rFonts w:hint="eastAsia"/>
                <w:color w:val="auto"/>
                <w:lang w:val="en-US" w:eastAsia="zh-CN"/>
              </w:rPr>
              <w:t>1</w:t>
            </w:r>
          </w:p>
        </w:tc>
        <w:tc>
          <w:tcPr>
            <w:tcW w:w="650" w:type="dxa"/>
            <w:vAlign w:val="center"/>
          </w:tcPr>
          <w:p>
            <w:pPr>
              <w:shd w:val="clear" w:color="auto" w:fill="C7DAF1" w:themeFill="text2" w:themeFillTint="32"/>
              <w:rPr>
                <w:color w:val="FF0000"/>
                <w:lang w:eastAsia="ja-JP"/>
              </w:rPr>
            </w:pPr>
            <w:r>
              <w:rPr>
                <w:rFonts w:hint="eastAsia"/>
                <w:color w:val="FF0000"/>
                <w:lang w:val="en-US" w:eastAsia="zh-CN"/>
              </w:rPr>
              <w:t>1</w:t>
            </w:r>
          </w:p>
        </w:tc>
        <w:tc>
          <w:tcPr>
            <w:tcW w:w="650" w:type="dxa"/>
            <w:vAlign w:val="center"/>
          </w:tcPr>
          <w:p>
            <w:pPr>
              <w:shd w:val="clear" w:color="auto" w:fill="C7DAF1" w:themeFill="text2" w:themeFillTint="32"/>
              <w:rPr>
                <w:color w:val="FF0000"/>
                <w:lang w:eastAsia="ja-JP"/>
              </w:rPr>
            </w:pPr>
            <w:r>
              <w:rPr>
                <w:rFonts w:hint="eastAsia"/>
                <w:color w:val="FF0000"/>
                <w:lang w:val="en-US" w:eastAsia="zh-CN"/>
              </w:rPr>
              <w:t>1</w:t>
            </w:r>
          </w:p>
        </w:tc>
        <w:tc>
          <w:tcPr>
            <w:tcW w:w="649" w:type="dxa"/>
            <w:vAlign w:val="center"/>
          </w:tcPr>
          <w:p>
            <w:pPr>
              <w:shd w:val="clear" w:color="auto" w:fill="C7DAF1" w:themeFill="text2" w:themeFillTint="32"/>
              <w:rPr>
                <w:color w:val="FF0000"/>
                <w:lang w:eastAsia="ja-JP"/>
              </w:rPr>
            </w:pPr>
            <w:r>
              <w:rPr>
                <w:rFonts w:hint="eastAsia"/>
                <w:color w:val="FF0000"/>
                <w:lang w:val="en-US" w:eastAsia="zh-CN"/>
              </w:rPr>
              <w:t>1</w:t>
            </w:r>
          </w:p>
        </w:tc>
        <w:tc>
          <w:tcPr>
            <w:tcW w:w="650" w:type="dxa"/>
            <w:vAlign w:val="center"/>
          </w:tcPr>
          <w:p>
            <w:pPr>
              <w:shd w:val="clear" w:color="auto" w:fill="C7DAF1" w:themeFill="text2" w:themeFillTint="32"/>
              <w:rPr>
                <w:color w:val="FF0000"/>
                <w:lang w:eastAsia="ja-JP"/>
              </w:rPr>
            </w:pPr>
            <w:r>
              <w:rPr>
                <w:rFonts w:hint="eastAsia"/>
                <w:color w:val="FF0000"/>
                <w:lang w:val="en-US" w:eastAsia="zh-CN"/>
              </w:rPr>
              <w:t>1</w:t>
            </w:r>
          </w:p>
        </w:tc>
        <w:tc>
          <w:tcPr>
            <w:tcW w:w="650" w:type="dxa"/>
            <w:vAlign w:val="center"/>
          </w:tcPr>
          <w:p>
            <w:pPr>
              <w:shd w:val="clear" w:color="auto" w:fill="C7DAF1" w:themeFill="text2" w:themeFillTint="32"/>
              <w:rPr>
                <w:color w:val="FF0000"/>
                <w:lang w:eastAsia="ja-JP"/>
              </w:rPr>
            </w:pPr>
            <w:r>
              <w:rPr>
                <w:rFonts w:hint="eastAsia"/>
                <w:color w:val="FF000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color w:val="auto"/>
                <w:lang w:val="en-US" w:eastAsia="zh-CN"/>
              </w:rPr>
            </w:pPr>
            <w:r>
              <w:rPr>
                <w:rFonts w:hint="eastAsia"/>
                <w:color w:val="auto"/>
                <w:lang w:val="en-US" w:eastAsia="zh-CN"/>
              </w:rPr>
              <w:t>2</w:t>
            </w:r>
          </w:p>
        </w:tc>
        <w:tc>
          <w:tcPr>
            <w:tcW w:w="650" w:type="dxa"/>
            <w:vAlign w:val="center"/>
          </w:tcPr>
          <w:p>
            <w:pPr>
              <w:shd w:val="clear" w:color="auto" w:fill="C7DAF1" w:themeFill="text2" w:themeFillTint="32"/>
              <w:rPr>
                <w:color w:val="auto"/>
                <w:lang w:eastAsia="ja-JP"/>
              </w:rPr>
            </w:pPr>
          </w:p>
        </w:tc>
        <w:tc>
          <w:tcPr>
            <w:tcW w:w="650" w:type="dxa"/>
            <w:vAlign w:val="center"/>
          </w:tcPr>
          <w:p>
            <w:pPr>
              <w:shd w:val="clear" w:color="auto" w:fill="C7DAF1" w:themeFill="text2" w:themeFillTint="32"/>
              <w:rPr>
                <w:color w:val="auto"/>
                <w:lang w:eastAsia="ja-JP"/>
              </w:rPr>
            </w:pPr>
          </w:p>
        </w:tc>
        <w:tc>
          <w:tcPr>
            <w:tcW w:w="649" w:type="dxa"/>
            <w:vAlign w:val="center"/>
          </w:tcPr>
          <w:p>
            <w:pPr>
              <w:shd w:val="clear" w:color="auto" w:fill="C7DAF1" w:themeFill="text2" w:themeFillTint="32"/>
              <w:rPr>
                <w:color w:val="auto"/>
                <w:lang w:eastAsia="ja-JP"/>
              </w:rPr>
            </w:pPr>
          </w:p>
        </w:tc>
        <w:tc>
          <w:tcPr>
            <w:tcW w:w="650" w:type="dxa"/>
            <w:vAlign w:val="center"/>
          </w:tcPr>
          <w:p>
            <w:pPr>
              <w:shd w:val="clear" w:color="auto" w:fill="C7DAF1" w:themeFill="text2" w:themeFillTint="32"/>
              <w:rPr>
                <w:color w:val="auto"/>
                <w:lang w:eastAsia="ja-JP"/>
              </w:rPr>
            </w:pPr>
          </w:p>
        </w:tc>
        <w:tc>
          <w:tcPr>
            <w:tcW w:w="650" w:type="dxa"/>
            <w:vAlign w:val="center"/>
          </w:tcPr>
          <w:p>
            <w:pPr>
              <w:shd w:val="clear" w:color="auto" w:fill="C7DAF1" w:themeFill="text2" w:themeFillTint="32"/>
              <w:rPr>
                <w:color w:val="auto"/>
                <w:lang w:eastAsia="ja-JP"/>
              </w:rPr>
            </w:pPr>
          </w:p>
        </w:tc>
        <w:tc>
          <w:tcPr>
            <w:tcW w:w="649" w:type="dxa"/>
            <w:tcBorders>
              <w:bottom w:val="single" w:color="auto" w:sz="4" w:space="0"/>
            </w:tcBorders>
            <w:vAlign w:val="center"/>
          </w:tcPr>
          <w:p>
            <w:pPr>
              <w:shd w:val="clear" w:color="auto" w:fill="C7DAF1" w:themeFill="text2" w:themeFillTint="32"/>
              <w:rPr>
                <w:color w:val="auto"/>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color w:val="auto"/>
                <w:lang w:eastAsia="ja-JP"/>
              </w:rPr>
            </w:pPr>
            <w:r>
              <w:rPr>
                <w:rFonts w:hint="eastAsia"/>
                <w:color w:val="auto"/>
              </w:rPr>
              <w:t>9.1</w:t>
            </w:r>
          </w:p>
        </w:tc>
        <w:tc>
          <w:tcPr>
            <w:tcW w:w="650" w:type="dxa"/>
            <w:vAlign w:val="center"/>
          </w:tcPr>
          <w:p>
            <w:pPr>
              <w:shd w:val="clear" w:color="auto" w:fill="C7DAF1" w:themeFill="text2" w:themeFillTint="32"/>
              <w:rPr>
                <w:color w:val="auto"/>
                <w:lang w:eastAsia="ja-JP"/>
              </w:rPr>
            </w:pPr>
            <w:r>
              <w:rPr>
                <w:rFonts w:hint="eastAsia"/>
                <w:color w:val="auto"/>
              </w:rPr>
              <w:t>9.2</w:t>
            </w:r>
          </w:p>
        </w:tc>
        <w:tc>
          <w:tcPr>
            <w:tcW w:w="650" w:type="dxa"/>
            <w:vAlign w:val="center"/>
          </w:tcPr>
          <w:p>
            <w:pPr>
              <w:shd w:val="clear" w:color="auto" w:fill="C7DAF1" w:themeFill="text2" w:themeFillTint="32"/>
              <w:rPr>
                <w:color w:val="auto"/>
                <w:lang w:eastAsia="ja-JP"/>
              </w:rPr>
            </w:pPr>
            <w:r>
              <w:rPr>
                <w:rFonts w:hint="eastAsia"/>
                <w:color w:val="auto"/>
              </w:rPr>
              <w:t>9.3</w:t>
            </w:r>
          </w:p>
        </w:tc>
        <w:tc>
          <w:tcPr>
            <w:tcW w:w="649" w:type="dxa"/>
            <w:vAlign w:val="center"/>
          </w:tcPr>
          <w:p>
            <w:pPr>
              <w:shd w:val="clear" w:color="auto" w:fill="C7DAF1" w:themeFill="text2" w:themeFillTint="32"/>
              <w:rPr>
                <w:color w:val="auto"/>
                <w:lang w:eastAsia="ja-JP"/>
              </w:rPr>
            </w:pPr>
            <w:r>
              <w:rPr>
                <w:rFonts w:hint="eastAsia"/>
                <w:color w:val="auto"/>
              </w:rPr>
              <w:t>10.1</w:t>
            </w:r>
          </w:p>
        </w:tc>
        <w:tc>
          <w:tcPr>
            <w:tcW w:w="650" w:type="dxa"/>
            <w:vAlign w:val="center"/>
          </w:tcPr>
          <w:p>
            <w:pPr>
              <w:shd w:val="clear" w:color="auto" w:fill="C7DAF1" w:themeFill="text2" w:themeFillTint="32"/>
              <w:rPr>
                <w:color w:val="auto"/>
                <w:lang w:eastAsia="ja-JP"/>
              </w:rPr>
            </w:pPr>
            <w:r>
              <w:rPr>
                <w:rFonts w:hint="eastAsia"/>
                <w:color w:val="auto"/>
              </w:rPr>
              <w:t>10.2</w:t>
            </w:r>
          </w:p>
        </w:tc>
        <w:tc>
          <w:tcPr>
            <w:tcW w:w="650" w:type="dxa"/>
            <w:vAlign w:val="center"/>
          </w:tcPr>
          <w:p>
            <w:pPr>
              <w:shd w:val="clear" w:color="auto" w:fill="C7DAF1" w:themeFill="text2" w:themeFillTint="32"/>
              <w:rPr>
                <w:color w:val="auto"/>
                <w:lang w:eastAsia="ja-JP"/>
              </w:rPr>
            </w:pPr>
            <w:r>
              <w:rPr>
                <w:rFonts w:hint="eastAsia"/>
                <w:color w:val="auto"/>
              </w:rPr>
              <w:t>10.3</w:t>
            </w:r>
          </w:p>
        </w:tc>
        <w:tc>
          <w:tcPr>
            <w:tcW w:w="649" w:type="dxa"/>
            <w:shd w:val="pct25" w:color="auto" w:fill="auto"/>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color w:val="auto"/>
                <w:lang w:eastAsia="ja-JP"/>
              </w:rPr>
            </w:pPr>
            <w:r>
              <w:rPr>
                <w:rFonts w:hint="eastAsia"/>
                <w:color w:val="auto"/>
                <w:lang w:val="en-US" w:eastAsia="zh-CN"/>
              </w:rPr>
              <w:t>1</w:t>
            </w:r>
          </w:p>
        </w:tc>
        <w:tc>
          <w:tcPr>
            <w:tcW w:w="650" w:type="dxa"/>
            <w:vAlign w:val="center"/>
          </w:tcPr>
          <w:p>
            <w:pPr>
              <w:shd w:val="clear" w:color="auto" w:fill="C7DAF1" w:themeFill="text2" w:themeFillTint="32"/>
              <w:rPr>
                <w:color w:val="auto"/>
                <w:lang w:eastAsia="ja-JP"/>
              </w:rPr>
            </w:pPr>
            <w:r>
              <w:rPr>
                <w:rFonts w:hint="eastAsia"/>
                <w:color w:val="auto"/>
                <w:lang w:val="en-US" w:eastAsia="zh-CN"/>
              </w:rPr>
              <w:t>1</w:t>
            </w:r>
          </w:p>
        </w:tc>
        <w:tc>
          <w:tcPr>
            <w:tcW w:w="650" w:type="dxa"/>
            <w:vAlign w:val="center"/>
          </w:tcPr>
          <w:p>
            <w:pPr>
              <w:shd w:val="clear" w:color="auto" w:fill="C7DAF1" w:themeFill="text2" w:themeFillTint="32"/>
              <w:rPr>
                <w:color w:val="auto"/>
                <w:lang w:eastAsia="ja-JP"/>
              </w:rPr>
            </w:pPr>
            <w:r>
              <w:rPr>
                <w:rFonts w:hint="eastAsia"/>
                <w:color w:val="auto"/>
                <w:lang w:val="en-US" w:eastAsia="zh-CN"/>
              </w:rPr>
              <w:t>1</w:t>
            </w:r>
          </w:p>
        </w:tc>
        <w:tc>
          <w:tcPr>
            <w:tcW w:w="649" w:type="dxa"/>
            <w:vAlign w:val="center"/>
          </w:tcPr>
          <w:p>
            <w:pPr>
              <w:shd w:val="clear" w:color="auto" w:fill="C7DAF1" w:themeFill="text2" w:themeFillTint="32"/>
              <w:rPr>
                <w:color w:val="auto"/>
                <w:lang w:eastAsia="ja-JP"/>
              </w:rPr>
            </w:pPr>
            <w:r>
              <w:rPr>
                <w:rFonts w:hint="eastAsia"/>
                <w:color w:val="auto"/>
                <w:lang w:val="en-US" w:eastAsia="zh-CN"/>
              </w:rPr>
              <w:t>1</w:t>
            </w:r>
          </w:p>
        </w:tc>
        <w:tc>
          <w:tcPr>
            <w:tcW w:w="650" w:type="dxa"/>
            <w:vAlign w:val="center"/>
          </w:tcPr>
          <w:p>
            <w:pPr>
              <w:shd w:val="clear" w:color="auto" w:fill="C7DAF1" w:themeFill="text2" w:themeFillTint="32"/>
              <w:rPr>
                <w:color w:val="auto"/>
                <w:lang w:eastAsia="ja-JP"/>
              </w:rPr>
            </w:pPr>
            <w:r>
              <w:rPr>
                <w:rFonts w:hint="eastAsia"/>
                <w:color w:val="auto"/>
                <w:lang w:val="en-US" w:eastAsia="zh-CN"/>
              </w:rPr>
              <w:t>1</w:t>
            </w:r>
          </w:p>
        </w:tc>
        <w:tc>
          <w:tcPr>
            <w:tcW w:w="650" w:type="dxa"/>
            <w:vAlign w:val="center"/>
          </w:tcPr>
          <w:p>
            <w:pPr>
              <w:shd w:val="clear" w:color="auto" w:fill="C7DAF1" w:themeFill="text2" w:themeFillTint="32"/>
              <w:rPr>
                <w:color w:val="auto"/>
                <w:lang w:eastAsia="ja-JP"/>
              </w:rPr>
            </w:pPr>
            <w:r>
              <w:rPr>
                <w:rFonts w:hint="eastAsia"/>
                <w:color w:val="auto"/>
                <w:lang w:val="en-US" w:eastAsia="zh-CN"/>
              </w:rPr>
              <w:t>1</w:t>
            </w:r>
          </w:p>
        </w:tc>
        <w:tc>
          <w:tcPr>
            <w:tcW w:w="649" w:type="dxa"/>
            <w:shd w:val="pct25" w:color="auto" w:fill="auto"/>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color w:val="auto"/>
                <w:lang w:eastAsia="ja-JP"/>
              </w:rPr>
            </w:pPr>
          </w:p>
        </w:tc>
        <w:tc>
          <w:tcPr>
            <w:tcW w:w="650" w:type="dxa"/>
            <w:vAlign w:val="center"/>
          </w:tcPr>
          <w:p>
            <w:pPr>
              <w:shd w:val="clear" w:color="auto" w:fill="C7DAF1" w:themeFill="text2" w:themeFillTint="32"/>
              <w:rPr>
                <w:color w:val="auto"/>
                <w:lang w:eastAsia="ja-JP"/>
              </w:rPr>
            </w:pPr>
          </w:p>
        </w:tc>
        <w:tc>
          <w:tcPr>
            <w:tcW w:w="650" w:type="dxa"/>
            <w:vAlign w:val="center"/>
          </w:tcPr>
          <w:p>
            <w:pPr>
              <w:shd w:val="clear" w:color="auto" w:fill="C7DAF1" w:themeFill="text2" w:themeFillTint="32"/>
              <w:rPr>
                <w:color w:val="auto"/>
                <w:lang w:eastAsia="ja-JP"/>
              </w:rPr>
            </w:pPr>
          </w:p>
        </w:tc>
        <w:tc>
          <w:tcPr>
            <w:tcW w:w="649" w:type="dxa"/>
            <w:vAlign w:val="center"/>
          </w:tcPr>
          <w:p>
            <w:pPr>
              <w:shd w:val="clear" w:color="auto" w:fill="C7DAF1" w:themeFill="text2" w:themeFillTint="32"/>
              <w:rPr>
                <w:color w:val="auto"/>
                <w:lang w:eastAsia="ja-JP"/>
              </w:rPr>
            </w:pPr>
          </w:p>
        </w:tc>
        <w:tc>
          <w:tcPr>
            <w:tcW w:w="650" w:type="dxa"/>
            <w:vAlign w:val="center"/>
          </w:tcPr>
          <w:p>
            <w:pPr>
              <w:shd w:val="clear" w:color="auto" w:fill="C7DAF1" w:themeFill="text2" w:themeFillTint="32"/>
              <w:rPr>
                <w:color w:val="auto"/>
                <w:lang w:eastAsia="ja-JP"/>
              </w:rPr>
            </w:pPr>
          </w:p>
        </w:tc>
        <w:tc>
          <w:tcPr>
            <w:tcW w:w="650" w:type="dxa"/>
            <w:vAlign w:val="center"/>
          </w:tcPr>
          <w:p>
            <w:pPr>
              <w:shd w:val="clear" w:color="auto" w:fill="C7DAF1" w:themeFill="text2" w:themeFillTint="32"/>
              <w:rPr>
                <w:color w:val="auto"/>
                <w:lang w:eastAsia="ja-JP"/>
              </w:rPr>
            </w:pPr>
          </w:p>
        </w:tc>
        <w:tc>
          <w:tcPr>
            <w:tcW w:w="649" w:type="dxa"/>
            <w:shd w:val="pct25" w:color="auto" w:fill="auto"/>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sym w:font="Wingdings 2" w:char="00A3"/>
            </w:r>
            <w:r>
              <w:rPr>
                <w:rFonts w:hint="eastAsia"/>
              </w:rPr>
              <w:t>EMS体系建立以来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w:t>
                  </w:r>
                </w:p>
                <w:p>
                  <w:pPr>
                    <w:shd w:val="clear" w:color="auto" w:fill="EBF1DE" w:themeFill="accent3" w:themeFillTint="32"/>
                  </w:pPr>
                  <w:r>
                    <w:rPr>
                      <w:rFonts w:hint="eastAsia"/>
                    </w:rPr>
                    <w:sym w:font="Wingdings 2" w:char="0052"/>
                  </w:r>
                  <w:r>
                    <w:rPr>
                      <w:rFonts w:hint="eastAsia"/>
                    </w:rPr>
                    <w:t>政治</w:t>
                  </w:r>
                  <w:r>
                    <w:rPr>
                      <w:rFonts w:hint="eastAsia"/>
                    </w:rPr>
                    <w:sym w:font="Wingdings 2" w:char="0052"/>
                  </w:r>
                  <w:r>
                    <w:rPr>
                      <w:rFonts w:hint="eastAsia"/>
                    </w:rPr>
                    <w:t>监管</w:t>
                  </w:r>
                  <w:r>
                    <w:rPr>
                      <w:rFonts w:hint="eastAsia"/>
                    </w:rPr>
                    <w:sym w:font="Wingdings 2" w:char="0052"/>
                  </w:r>
                  <w:r>
                    <w:rPr>
                      <w:rFonts w:hint="eastAsia"/>
                    </w:rPr>
                    <w:t>财务□自然环境□其他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w:t>
                  </w:r>
                </w:p>
                <w:p>
                  <w:pPr>
                    <w:shd w:val="clear" w:color="auto" w:fill="EBF1DE" w:themeFill="accent3" w:themeFillTint="32"/>
                  </w:pPr>
                  <w:r>
                    <w:rPr>
                      <w:rFonts w:hint="eastAsia"/>
                    </w:rPr>
                    <w:sym w:font="Wingdings 2" w:char="0052"/>
                  </w:r>
                  <w:r>
                    <w:t>活动、产品和服务</w:t>
                  </w:r>
                  <w:r>
                    <w:rPr>
                      <w:rFonts w:hint="eastAsia"/>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pPr>
                  <w:r>
                    <w:rPr>
                      <w:rFonts w:hint="eastAsia"/>
                    </w:rPr>
                    <w:sym w:font="Wingdings 2" w:char="0052"/>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sym w:font="Wingdings 2" w:char="0052"/>
            </w:r>
            <w:r>
              <w:rPr>
                <w:rFonts w:hint="eastAsia"/>
              </w:rPr>
              <w:t>设计和开发</w:t>
            </w:r>
            <w:r>
              <w:rPr>
                <w:rFonts w:hint="eastAsia"/>
              </w:rPr>
              <w:sym w:font="Wingdings 2" w:char="0052"/>
            </w:r>
            <w:r>
              <w:rPr>
                <w:rFonts w:hint="eastAsia"/>
              </w:rPr>
              <w:t>采购</w:t>
            </w:r>
            <w:r>
              <w:rPr>
                <w:rFonts w:hint="eastAsia"/>
              </w:rPr>
              <w:sym w:font="Wingdings 2" w:char="0052"/>
            </w:r>
            <w:r>
              <w:rPr>
                <w:rFonts w:hint="eastAsia"/>
              </w:rPr>
              <w:t>人力资源</w:t>
            </w:r>
            <w:r>
              <w:rPr>
                <w:rFonts w:hint="eastAsia"/>
              </w:rPr>
              <w:sym w:font="Wingdings 2" w:char="0052"/>
            </w:r>
            <w:r>
              <w:rPr>
                <w:rFonts w:hint="eastAsia"/>
              </w:rPr>
              <w:t>营销和市场</w:t>
            </w:r>
            <w:r>
              <w:rPr>
                <w:rFonts w:hint="eastAsia"/>
              </w:rPr>
              <w:sym w:font="Wingdings 2" w:char="0052"/>
            </w:r>
            <w:r>
              <w:rPr>
                <w:rFonts w:hint="eastAsia"/>
              </w:rPr>
              <w:t>生产</w:t>
            </w:r>
            <w:r>
              <w:rPr>
                <w:rFonts w:hint="eastAsia"/>
              </w:rPr>
              <w:sym w:font="Wingdings 2" w:char="0052"/>
            </w:r>
            <w:r>
              <w:rPr>
                <w:rFonts w:hint="eastAsia"/>
              </w:rPr>
              <w:t>检验</w:t>
            </w:r>
            <w:r>
              <w:rPr>
                <w:rFonts w:hint="eastAsia"/>
              </w:rPr>
              <w:sym w:font="Wingdings 2" w:char="0052"/>
            </w:r>
            <w:r>
              <w:rPr>
                <w:rFonts w:hint="eastAsia"/>
              </w:rPr>
              <w:t>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节约能源</w:t>
            </w:r>
            <w:r>
              <w:rPr>
                <w:rFonts w:hint="eastAsia"/>
              </w:rPr>
              <w:sym w:font="Wingdings 2" w:char="0052"/>
            </w:r>
            <w:r>
              <w:rPr>
                <w:rFonts w:hint="eastAsia"/>
              </w:rPr>
              <w:t>节约资源</w:t>
            </w:r>
            <w:r>
              <w:rPr>
                <w:rFonts w:hint="eastAsia"/>
              </w:rPr>
              <w:sym w:font="Wingdings 2" w:char="0052"/>
            </w:r>
            <w:r>
              <w:rPr>
                <w:rFonts w:hint="eastAsia"/>
              </w:rPr>
              <w:t>达标排放</w:t>
            </w:r>
            <w:r>
              <w:rPr>
                <w:rFonts w:hint="eastAsia"/>
              </w:rPr>
              <w:sym w:font="Wingdings 2" w:char="0052"/>
            </w:r>
            <w:r>
              <w:rPr>
                <w:rFonts w:hint="eastAsia"/>
              </w:rPr>
              <w:t>消防控制</w:t>
            </w:r>
            <w:r>
              <w:rPr>
                <w:rFonts w:hint="eastAsia"/>
              </w:rPr>
              <w:sym w:font="Wingdings 2" w:char="0052"/>
            </w:r>
            <w:r>
              <w:rPr>
                <w:rFonts w:hint="eastAsia"/>
              </w:rPr>
              <w:t>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危险废物处置□消防检测□生产/服务过程□环保监测□产品运输□设备维修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eastAsia="宋体"/>
                <w:lang w:eastAsia="zh-CN"/>
              </w:rPr>
            </w:pPr>
            <w:r>
              <w:rPr>
                <w:rFonts w:hint="eastAsia"/>
              </w:rPr>
              <w:t>最高管理者制定了文件化的</w:t>
            </w:r>
            <w:r>
              <w:rPr>
                <w:rFonts w:hint="eastAsia"/>
                <w:lang w:eastAsia="zh-CN"/>
              </w:rPr>
              <w:t>管理体系方针：以人为本  守法经营  和谐发展 科学管理  求实创新  创建一流</w:t>
            </w:r>
          </w:p>
          <w:p>
            <w:pPr>
              <w:shd w:val="clear" w:color="auto" w:fill="EBF1DE" w:themeFill="accent3" w:themeFillTint="32"/>
              <w:rPr>
                <w:u w:val="single"/>
              </w:rPr>
            </w:pP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EMS的主管部门是——</w:t>
            </w:r>
            <w:r>
              <w:rPr>
                <w:rFonts w:hint="eastAsia"/>
                <w:lang w:val="en-US" w:eastAsia="zh-CN"/>
              </w:rPr>
              <w:t>办公室</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ascii="Times New Roman" w:hAnsi="Times New Roman" w:eastAsia="宋体" w:cs="Times New Roman"/>
                    </w:rPr>
                  </w:pPr>
                  <w:r>
                    <w:rPr>
                      <w:rFonts w:hint="eastAsia" w:ascii="Times New Roman" w:hAnsi="Times New Roman" w:eastAsia="宋体" w:cs="Times New Roman"/>
                    </w:rPr>
                    <w:t>产品质量风险是指在生产经营活动中，因质量管理体系不健全、执行和监督不到位，导致采购的产品质量不合格或存在质量问题，不能满足公司生产经营需要，影响公司生产经营正常运行的风险</w:t>
                  </w:r>
                </w:p>
              </w:tc>
              <w:tc>
                <w:tcPr>
                  <w:tcW w:w="3965" w:type="dxa"/>
                  <w:vAlign w:val="top"/>
                </w:tcPr>
                <w:p>
                  <w:pPr>
                    <w:shd w:val="clear" w:color="auto" w:fill="EBF1DE" w:themeFill="accent3" w:themeFillTint="32"/>
                    <w:rPr>
                      <w:rFonts w:ascii="Times New Roman" w:hAnsi="Times New Roman" w:eastAsia="宋体" w:cs="Times New Roman"/>
                    </w:rPr>
                  </w:pPr>
                  <w:r>
                    <w:rPr>
                      <w:rFonts w:hint="eastAsia" w:ascii="Times New Roman" w:hAnsi="Times New Roman" w:eastAsia="宋体" w:cs="Times New Roman"/>
                    </w:rPr>
                    <w:t>建立和运行（基础设施管理程序）、（监视和测量资源管理程序）（不合格输出控制程序）</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ascii="Times New Roman" w:hAnsi="Times New Roman" w:eastAsia="宋体" w:cs="Times New Roman"/>
                    </w:rPr>
                  </w:pPr>
                  <w:r>
                    <w:rPr>
                      <w:rFonts w:hint="eastAsia" w:ascii="Times New Roman" w:hAnsi="Times New Roman" w:eastAsia="宋体" w:cs="Times New Roman"/>
                    </w:rPr>
                    <w:t>信息管理风险是指未能及时准确获取公司内、外部与经营有关的信息或由于信息管理及保密措施不当给公司造成各方面损失的风险。</w:t>
                  </w:r>
                </w:p>
              </w:tc>
              <w:tc>
                <w:tcPr>
                  <w:tcW w:w="3965" w:type="dxa"/>
                  <w:vAlign w:val="top"/>
                </w:tcPr>
                <w:p>
                  <w:pPr>
                    <w:shd w:val="clear" w:color="auto" w:fill="EBF1DE" w:themeFill="accent3" w:themeFillTint="32"/>
                    <w:rPr>
                      <w:rFonts w:ascii="Times New Roman" w:hAnsi="Times New Roman" w:eastAsia="宋体" w:cs="Times New Roman"/>
                    </w:rPr>
                  </w:pPr>
                  <w:r>
                    <w:rPr>
                      <w:rFonts w:hint="eastAsia" w:ascii="Times New Roman" w:hAnsi="Times New Roman" w:eastAsia="宋体" w:cs="Times New Roman"/>
                      <w:lang w:val="en-US" w:eastAsia="zh-CN"/>
                    </w:rPr>
                    <w:t>对相关信息进行搜集更新，定期进行评价</w:t>
                  </w:r>
                </w:p>
              </w:tc>
              <w:tc>
                <w:tcPr>
                  <w:tcW w:w="1717" w:type="dxa"/>
                </w:tcPr>
                <w:p>
                  <w:pPr>
                    <w:shd w:val="clear" w:color="auto" w:fill="EBF1DE" w:themeFill="accent3"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sym w:font="Wingdings 2" w:char="0052"/>
            </w:r>
            <w:r>
              <w:rPr>
                <w:rFonts w:hint="eastAsia"/>
              </w:rPr>
              <w:t>能源消耗</w:t>
            </w:r>
            <w:r>
              <w:rPr>
                <w:rFonts w:hint="eastAsia"/>
              </w:rPr>
              <w:sym w:font="Wingdings 2" w:char="0052"/>
            </w:r>
            <w:r>
              <w:rPr>
                <w:rFonts w:hint="eastAsia"/>
              </w:rPr>
              <w:t>资源消耗</w:t>
            </w:r>
            <w:r>
              <w:rPr>
                <w:rFonts w:hint="eastAsia"/>
              </w:rPr>
              <w:sym w:font="Wingdings 2" w:char="00A3"/>
            </w:r>
            <w:r>
              <w:rPr>
                <w:rFonts w:hint="eastAsia"/>
              </w:rPr>
              <w:t>废水排放</w:t>
            </w:r>
            <w:r>
              <w:rPr>
                <w:rFonts w:hint="eastAsia"/>
              </w:rPr>
              <w:sym w:font="Wingdings 2" w:char="0052"/>
            </w:r>
            <w:r>
              <w:rPr>
                <w:rFonts w:hint="eastAsia"/>
              </w:rPr>
              <w:t>废气排放□粉尘排放</w:t>
            </w:r>
            <w:r>
              <w:rPr>
                <w:rFonts w:hint="eastAsia"/>
              </w:rPr>
              <w:sym w:font="Wingdings 2" w:char="0052"/>
            </w:r>
            <w:r>
              <w:rPr>
                <w:rFonts w:hint="eastAsia"/>
              </w:rPr>
              <w:t>危废排放</w:t>
            </w:r>
            <w:r>
              <w:rPr>
                <w:rFonts w:hint="eastAsia"/>
              </w:rPr>
              <w:sym w:font="Wingdings 2" w:char="0052"/>
            </w:r>
            <w:r>
              <w:rPr>
                <w:rFonts w:hint="eastAsia"/>
              </w:rPr>
              <w:t>噪声排放</w:t>
            </w:r>
            <w:r>
              <w:rPr>
                <w:rFonts w:hint="eastAsia"/>
              </w:rPr>
              <w:sym w:font="Wingdings 2" w:char="0052"/>
            </w:r>
            <w:r>
              <w:rPr>
                <w:rFonts w:hint="eastAsia"/>
              </w:rPr>
              <w:t>危化品泄露□压力容器爆炸□火灾□其他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r>
              <w:rPr>
                <w:rFonts w:hint="eastAsia"/>
                <w:color w:val="000000"/>
                <w:szCs w:val="18"/>
              </w:rPr>
              <w:t>颁发日期：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sym w:font="Wingdings 2" w:char="0052"/>
            </w:r>
            <w:r>
              <w:rPr>
                <w:rFonts w:hint="eastAsia"/>
              </w:rPr>
              <w:t>其他</w:t>
            </w:r>
            <w:r>
              <w:rPr>
                <w:rFonts w:hint="eastAsia"/>
                <w:lang w:val="en-US" w:eastAsia="zh-CN"/>
              </w:rPr>
              <w:t>-</w:t>
            </w:r>
            <w:r>
              <w:rPr>
                <w:rFonts w:hint="eastAsia"/>
                <w:color w:val="000000"/>
                <w:szCs w:val="18"/>
                <w:lang w:eastAsia="zh-CN"/>
              </w:rPr>
              <w:t>《</w:t>
            </w:r>
            <w:r>
              <w:rPr>
                <w:rFonts w:hint="eastAsia"/>
                <w:color w:val="000000"/>
                <w:szCs w:val="18"/>
                <w:lang w:val="en-US" w:eastAsia="zh-CN"/>
              </w:rPr>
              <w:t>固定污染源排污登记回执</w:t>
            </w:r>
            <w:r>
              <w:rPr>
                <w:rFonts w:hint="eastAsia"/>
                <w:color w:val="000000"/>
                <w:szCs w:val="18"/>
                <w:lang w:eastAsia="zh-CN"/>
              </w:rPr>
              <w:t>》</w:t>
            </w:r>
            <w:r>
              <w:rPr>
                <w:rFonts w:hint="eastAsia"/>
                <w:color w:val="000000"/>
                <w:szCs w:val="18"/>
                <w:lang w:val="en-US" w:eastAsia="zh-CN"/>
              </w:rPr>
              <w:t>：登记证编号：91330109754410364K001Y；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w:t>
            </w:r>
            <w:r>
              <w:rPr>
                <w:rFonts w:hint="eastAsia"/>
              </w:rPr>
              <w:sym w:font="Wingdings 2" w:char="0052"/>
            </w:r>
            <w:r>
              <w:rPr>
                <w:rFonts w:hint="eastAsia"/>
              </w:rPr>
              <w:t>设备降噪</w:t>
            </w:r>
            <w:r>
              <w:rPr>
                <w:rFonts w:hint="eastAsia"/>
              </w:rPr>
              <w:sym w:font="Wingdings 2" w:char="0052"/>
            </w:r>
            <w:r>
              <w:rPr>
                <w:rFonts w:hint="eastAsia"/>
              </w:rPr>
              <w:t>危废合法处置</w:t>
            </w:r>
            <w:r>
              <w:rPr>
                <w:rFonts w:hint="eastAsia"/>
              </w:rPr>
              <w:sym w:font="Wingdings 2" w:char="0052"/>
            </w:r>
            <w:r>
              <w:rPr>
                <w:rFonts w:hint="eastAsia"/>
              </w:rPr>
              <w:t>使用节能设备</w:t>
            </w:r>
            <w:r>
              <w:rPr>
                <w:rFonts w:hint="eastAsia"/>
              </w:rPr>
              <w:sym w:font="Wingdings 2" w:char="0052"/>
            </w:r>
            <w:r>
              <w:rPr>
                <w:rFonts w:hint="eastAsia"/>
              </w:rPr>
              <w:t>危化品控制</w:t>
            </w:r>
          </w:p>
          <w:p>
            <w:pPr>
              <w:shd w:val="clear" w:color="auto" w:fill="EBF1DE" w:themeFill="accent3" w:themeFillTint="32"/>
              <w:rPr>
                <w:highlight w:val="cyan"/>
              </w:rPr>
            </w:pPr>
            <w:r>
              <w:rPr>
                <w:rFonts w:hint="eastAsia"/>
              </w:rPr>
              <w:t>□压力容器检测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9"/>
              <w:tblpPr w:leftFromText="180" w:rightFromText="180" w:vertAnchor="text" w:horzAnchor="page" w:tblpX="83" w:tblpY="46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03"/>
              <w:gridCol w:w="3101"/>
              <w:gridCol w:w="1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0" w:type="auto"/>
                  <w:tcBorders>
                    <w:bottom w:val="single" w:color="auto" w:sz="4" w:space="0"/>
                  </w:tcBorders>
                  <w:noWrap w:val="0"/>
                  <w:vAlign w:val="center"/>
                </w:tcPr>
                <w:p>
                  <w:pPr>
                    <w:pStyle w:val="3"/>
                    <w:spacing w:before="80" w:beforeLines="20" w:after="80" w:afterLines="20" w:line="320" w:lineRule="exact"/>
                    <w:ind w:left="0"/>
                    <w:jc w:val="center"/>
                    <w:rPr>
                      <w:rFonts w:hint="eastAsia" w:ascii="楷体" w:hAnsi="楷体" w:eastAsia="楷体" w:cs="宋体"/>
                      <w:color w:val="000000"/>
                      <w:kern w:val="2"/>
                      <w:sz w:val="24"/>
                      <w:szCs w:val="24"/>
                      <w:lang w:val="en-US" w:eastAsia="zh-CN" w:bidi="ar-SA"/>
                    </w:rPr>
                  </w:pPr>
                  <w:bookmarkStart w:id="33" w:name="OLE_LINK1"/>
                  <w:r>
                    <w:rPr>
                      <w:rFonts w:hint="eastAsia" w:ascii="楷体" w:hAnsi="楷体" w:eastAsia="楷体" w:cs="宋体"/>
                      <w:color w:val="000000"/>
                      <w:kern w:val="2"/>
                      <w:sz w:val="24"/>
                      <w:szCs w:val="24"/>
                      <w:lang w:val="en-US" w:eastAsia="zh-CN" w:bidi="ar-SA"/>
                    </w:rPr>
                    <w:t>分目标</w:t>
                  </w:r>
                </w:p>
              </w:tc>
              <w:tc>
                <w:tcPr>
                  <w:tcW w:w="0" w:type="auto"/>
                  <w:tcBorders>
                    <w:bottom w:val="single" w:color="auto" w:sz="4" w:space="0"/>
                  </w:tcBorders>
                  <w:noWrap w:val="0"/>
                  <w:vAlign w:val="center"/>
                </w:tcPr>
                <w:p>
                  <w:pPr>
                    <w:pStyle w:val="3"/>
                    <w:spacing w:before="80" w:beforeLines="20" w:after="80" w:afterLines="20" w:line="320" w:lineRule="exact"/>
                    <w:ind w:left="0"/>
                    <w:jc w:val="center"/>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考核方法</w:t>
                  </w:r>
                </w:p>
              </w:tc>
              <w:tc>
                <w:tcPr>
                  <w:tcW w:w="0" w:type="auto"/>
                  <w:tcBorders>
                    <w:bottom w:val="single" w:color="auto" w:sz="4" w:space="0"/>
                  </w:tcBorders>
                  <w:noWrap w:val="0"/>
                  <w:vAlign w:val="center"/>
                </w:tcPr>
                <w:p>
                  <w:pPr>
                    <w:pStyle w:val="3"/>
                    <w:spacing w:before="80" w:beforeLines="20" w:after="80" w:afterLines="20" w:line="320" w:lineRule="exact"/>
                    <w:ind w:left="0"/>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考核结果1-4月</w:t>
                  </w:r>
                </w:p>
              </w:tc>
            </w:tr>
            <w:bookmarkEnd w:id="3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5.各类废弃物按规定分类处置率100%</w:t>
                  </w: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处置率=检查合格次数/总次数</w:t>
                  </w: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6. 废水达标排放</w:t>
                  </w: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检测报告</w:t>
                  </w: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7．废气达标排放</w:t>
                  </w: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检测报告</w:t>
                  </w: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8. 噪声达标排放</w:t>
                  </w: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检测报告</w:t>
                  </w: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9.火灾爆炸事故生率为0；</w:t>
                  </w: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考核期内统计</w:t>
                  </w: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0</w:t>
                  </w:r>
                </w:p>
              </w:tc>
            </w:tr>
          </w:tbl>
          <w:p>
            <w:pPr>
              <w:shd w:val="clear" w:color="auto" w:fill="EBF1DE" w:themeFill="accent3" w:themeFillTint="32"/>
            </w:pPr>
            <w:r>
              <w:rPr>
                <w:rFonts w:hint="eastAsia" w:ascii="Wingdings" w:hAnsi="Wingdings"/>
                <w:lang w:eastAsia="zh-CN"/>
              </w:rPr>
              <w:sym w:font="Wingdings 2" w:char="0052"/>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rPr>
                <w:rFonts w:hint="eastAsia"/>
              </w:rPr>
            </w:pPr>
            <w:r>
              <w:rPr>
                <w:rFonts w:hint="eastAsia"/>
              </w:rPr>
              <w:t>建筑面积</w:t>
            </w:r>
            <w:r>
              <w:rPr>
                <w:rFonts w:hint="eastAsia"/>
                <w:lang w:val="en-US" w:eastAsia="zh-CN"/>
              </w:rPr>
              <w:t>1.8万</w:t>
            </w:r>
            <w:r>
              <w:rPr>
                <w:rFonts w:hint="eastAsia"/>
              </w:rPr>
              <w:t>平方米；生产车间</w:t>
            </w:r>
            <w:r>
              <w:rPr>
                <w:rFonts w:hint="eastAsia"/>
                <w:lang w:val="en-US" w:eastAsia="zh-CN"/>
              </w:rPr>
              <w:t>2</w:t>
            </w:r>
            <w:r>
              <w:rPr>
                <w:rFonts w:hint="eastAsia"/>
              </w:rPr>
              <w:t>个；库房</w:t>
            </w:r>
            <w:r>
              <w:rPr>
                <w:rFonts w:hint="eastAsia"/>
                <w:lang w:val="en-US" w:eastAsia="zh-CN"/>
              </w:rPr>
              <w:t>2</w:t>
            </w:r>
            <w:r>
              <w:rPr>
                <w:rFonts w:hint="eastAsia"/>
              </w:rPr>
              <w:t>个；实验室</w:t>
            </w:r>
            <w:r>
              <w:rPr>
                <w:rFonts w:hint="eastAsia"/>
                <w:lang w:val="en-US" w:eastAsia="zh-CN"/>
              </w:rPr>
              <w:t>1</w:t>
            </w:r>
            <w:r>
              <w:rPr>
                <w:rFonts w:hint="eastAsia"/>
              </w:rPr>
              <w:t>个；</w:t>
            </w:r>
          </w:p>
          <w:p>
            <w:pPr>
              <w:shd w:val="clear" w:color="auto" w:fill="EBF1DE" w:themeFill="accent3" w:themeFillTint="32"/>
              <w:rPr>
                <w:rFonts w:hint="eastAsia"/>
              </w:rPr>
            </w:pPr>
            <w:r>
              <w:rPr>
                <w:rFonts w:hint="eastAsia"/>
              </w:rPr>
              <w:t>主要生产设备有：</w:t>
            </w:r>
            <w:r>
              <w:rPr>
                <w:rFonts w:hint="eastAsia"/>
                <w:lang w:val="en-US" w:eastAsia="zh-CN"/>
              </w:rPr>
              <w:t xml:space="preserve">  切割机床、液晶投影机、剪刀机、立式钻床、缝包机、工业缝纫机</w:t>
            </w:r>
            <w:r>
              <w:rPr>
                <w:rFonts w:hint="eastAsia"/>
              </w:rPr>
              <w:t>（</w:t>
            </w:r>
            <w:r>
              <w:rPr>
                <w:rFonts w:hint="eastAsia"/>
                <w:lang w:val="en-US" w:eastAsia="zh-CN"/>
              </w:rPr>
              <w:t xml:space="preserve"> </w:t>
            </w:r>
            <w:r>
              <w:rPr>
                <w:rFonts w:hint="eastAsia"/>
              </w:rPr>
              <w:t>2~4种）</w:t>
            </w:r>
          </w:p>
          <w:p>
            <w:pPr>
              <w:shd w:val="clear" w:color="auto" w:fill="EBF1DE" w:themeFill="accent3" w:themeFillTint="32"/>
              <w:rPr>
                <w:u w:val="single"/>
              </w:rPr>
            </w:pPr>
            <w:r>
              <w:rPr>
                <w:rFonts w:hint="eastAsia"/>
              </w:rPr>
              <w:t>主要环保设备有：</w:t>
            </w:r>
            <w:r>
              <w:rPr>
                <w:rFonts w:hint="eastAsia"/>
                <w:u w:val="single"/>
                <w:lang w:val="en-US" w:eastAsia="zh-CN"/>
              </w:rPr>
              <w:t>废气处理装置、垃圾桶</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sym w:font="Wingdings 2" w:char="0052"/>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sym w:font="Wingdings 2" w:char="0052"/>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sym w:font="Wingdings 2" w:char="0052"/>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sym w:font="Wingdings 2" w:char="0052"/>
            </w:r>
            <w:r>
              <w:rPr>
                <w:rFonts w:hint="eastAsia"/>
              </w:rPr>
              <w:t>电工</w:t>
            </w:r>
            <w:r>
              <w:rPr>
                <w:rFonts w:hint="eastAsia" w:ascii="Wingdings" w:hAnsi="Wingdings"/>
                <w:lang w:eastAsia="zh-CN"/>
              </w:rPr>
              <w:sym w:font="Wingdings 2" w:char="0052"/>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sym w:font="Wingdings 2" w:char="00A3"/>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看板</w:t>
            </w:r>
            <w:r>
              <w:rPr>
                <w:rFonts w:hint="eastAsia" w:ascii="Wingdings" w:hAnsi="Wingdings"/>
                <w:lang w:eastAsia="zh-CN"/>
              </w:rPr>
              <w:sym w:font="Wingdings 2" w:char="0052"/>
            </w:r>
            <w:r>
              <w:rPr>
                <w:rFonts w:hint="eastAsia"/>
              </w:rPr>
              <w:t>局域网</w:t>
            </w:r>
            <w:r>
              <w:rPr>
                <w:rFonts w:hint="eastAsia" w:ascii="Wingdings" w:hAnsi="Wingdings"/>
                <w:lang w:eastAsia="zh-CN"/>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sym w:font="Wingdings 2" w:char="0052"/>
            </w:r>
            <w:r>
              <w:rPr>
                <w:rFonts w:hint="eastAsia"/>
              </w:rPr>
              <w:t xml:space="preserve">MSDS   </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w:t>
            </w:r>
            <w:r>
              <w:rPr>
                <w:rFonts w:hint="eastAsia"/>
                <w:lang w:eastAsia="zh-CN"/>
              </w:rPr>
              <w:t>项目名称：昆明兰博面包工坊食品有限公司 招牌鲜奶土司袋（</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rPr>
                      <w:rFonts w:hint="eastAsia" w:eastAsia="宋体"/>
                      <w:lang w:val="en-US" w:eastAsia="zh-CN"/>
                    </w:rPr>
                  </w:pPr>
                  <w:r>
                    <w:rPr>
                      <w:rFonts w:hint="eastAsia"/>
                      <w:lang w:val="en-US" w:eastAsia="zh-CN"/>
                    </w:rPr>
                    <w:t>排入市政管网</w:t>
                  </w: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vAlign w:val="top"/>
                </w:tcPr>
                <w:p>
                  <w:pPr>
                    <w:shd w:val="clear" w:color="auto" w:fill="EBF1DE" w:themeFill="accent3" w:themeFillTint="32"/>
                    <w:jc w:val="left"/>
                    <w:rPr>
                      <w:rFonts w:hint="default" w:eastAsia="宋体"/>
                      <w:lang w:val="en-US" w:eastAsia="zh-CN"/>
                    </w:rPr>
                  </w:pPr>
                  <w:r>
                    <w:rPr>
                      <w:rFonts w:hint="eastAsia"/>
                      <w:lang w:val="en-US" w:eastAsia="zh-CN"/>
                    </w:rPr>
                    <w:t>使用集气罩</w:t>
                  </w:r>
                </w:p>
              </w:tc>
              <w:tc>
                <w:tcPr>
                  <w:tcW w:w="3265" w:type="dxa"/>
                  <w:vAlign w:val="top"/>
                </w:tcPr>
                <w:p>
                  <w:pPr>
                    <w:shd w:val="clear" w:color="auto" w:fill="EBF1DE" w:themeFill="accent3" w:themeFillTint="32"/>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rPr>
                      <w:rFonts w:hint="default" w:eastAsia="宋体"/>
                      <w:lang w:val="en-US" w:eastAsia="zh-CN"/>
                    </w:rPr>
                  </w:pPr>
                  <w:r>
                    <w:rPr>
                      <w:rFonts w:hint="eastAsia" w:ascii="宋体" w:hAnsi="宋体"/>
                      <w:sz w:val="24"/>
                      <w:lang w:val="en-US" w:eastAsia="zh-CN"/>
                    </w:rPr>
                    <w:t>设备减噪、定期维保</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分类存放，危废处置公司及时处置</w:t>
                  </w:r>
                </w:p>
              </w:tc>
              <w:tc>
                <w:tcPr>
                  <w:tcW w:w="3265" w:type="dxa"/>
                </w:tcPr>
                <w:p>
                  <w:pPr>
                    <w:shd w:val="clear" w:color="auto" w:fill="EBF1DE" w:themeFill="accent3" w:themeFillTint="32"/>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pPr>
                  <w:r>
                    <w:rPr>
                      <w:rFonts w:hint="eastAsia" w:ascii="宋体" w:hAnsi="宋体"/>
                      <w:sz w:val="24"/>
                    </w:rPr>
                    <w:t>运行控制</w:t>
                  </w:r>
                </w:p>
              </w:tc>
              <w:tc>
                <w:tcPr>
                  <w:tcW w:w="3265" w:type="dxa"/>
                </w:tcPr>
                <w:p>
                  <w:pPr>
                    <w:shd w:val="clear" w:color="auto" w:fill="EBF1DE" w:themeFill="accent3" w:themeFillTint="32"/>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sym w:font="Wingdings 2" w:char="00A3"/>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lang w:eastAsia="zh-CN"/>
              </w:rPr>
              <w:t>特种设备检测报告，如：</w:t>
            </w:r>
            <w:r>
              <w:rPr>
                <w:rFonts w:hint="eastAsia"/>
                <w:u w:val="single"/>
                <w:lang w:val="en-US" w:eastAsia="zh-CN"/>
              </w:rPr>
              <w:t xml:space="preserve">  无</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sym w:font="Wingdings 2" w:char="0052"/>
            </w:r>
            <w:r>
              <w:rPr>
                <w:rFonts w:hint="eastAsia"/>
              </w:rPr>
              <w:t>MSDS</w:t>
            </w:r>
            <w:r>
              <w:rPr>
                <w:rFonts w:hint="eastAsia" w:ascii="Wingdings" w:hAnsi="Wingdings"/>
                <w:lang w:eastAsia="zh-CN"/>
              </w:rPr>
              <w:sym w:font="Wingdings 2" w:char="0052"/>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sym w:font="Wingdings 2" w:char="0052"/>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lang w:eastAsia="zh-CN"/>
              </w:rPr>
              <w:t>于2021年9月25日进行了的演练</w:t>
            </w:r>
            <w:r>
              <w:rPr>
                <w:rFonts w:hint="eastAsia"/>
              </w:rPr>
              <w:t>；并总结了预案的可行性和有效性。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rPr>
                <w:rFonts w:hint="eastAsia" w:eastAsia="宋体"/>
                <w:lang w:eastAsia="zh-CN"/>
              </w:rPr>
            </w:pPr>
            <w:r>
              <w:rPr>
                <w:rFonts w:hint="eastAsia" w:ascii="Wingdings" w:hAnsi="Wingdings"/>
                <w:lang w:eastAsia="zh-CN"/>
              </w:rPr>
              <w:sym w:font="Wingdings 2" w:char="0052"/>
            </w:r>
            <w:r>
              <w:rPr>
                <w:rFonts w:hint="eastAsia"/>
                <w:lang w:eastAsia="zh-CN"/>
              </w:rPr>
              <w:t>定期（每年）：2022年1月8日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sym w:font="Wingdings 2" w:char="0052"/>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w:t>
            </w:r>
            <w:r>
              <w:rPr>
                <w:rFonts w:hint="eastAsia"/>
                <w:lang w:eastAsia="zh-CN"/>
              </w:rPr>
              <w:t>年度策划于2022年1月20日-21日实施了</w:t>
            </w:r>
            <w:r>
              <w:rPr>
                <w:rFonts w:hint="eastAsia"/>
              </w:rPr>
              <w:t>环境管理体系内部审核，对环境管理体系的符合性和有效性进行了审核。</w:t>
            </w:r>
            <w:r>
              <w:rPr>
                <w:rFonts w:hint="eastAsia"/>
                <w:lang w:eastAsia="zh-CN"/>
              </w:rPr>
              <w:t>内审发现的2项</w:t>
            </w:r>
            <w:r>
              <w:rPr>
                <w:rFonts w:hint="eastAsia"/>
              </w:rPr>
              <w:t>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w:t>
            </w:r>
            <w:r>
              <w:rPr>
                <w:rFonts w:hint="eastAsia"/>
                <w:lang w:eastAsia="zh-CN"/>
              </w:rPr>
              <w:t>在2022年2月23日对组织的</w:t>
            </w:r>
            <w:r>
              <w:rPr>
                <w:rFonts w:hint="eastAsia"/>
              </w:rPr>
              <w:t>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sym w:font="Wingdings 2" w:char="0052"/>
            </w:r>
            <w:r>
              <w:rPr>
                <w:rFonts w:hint="eastAsia"/>
              </w:rPr>
              <w:t>检测结果不合格</w:t>
            </w:r>
            <w:r>
              <w:rPr>
                <w:rFonts w:hint="eastAsia" w:ascii="Wingdings" w:hAnsi="Wingdings"/>
                <w:lang w:eastAsia="zh-CN"/>
              </w:rPr>
              <w:t>□</w:t>
            </w:r>
            <w:r>
              <w:rPr>
                <w:rFonts w:hint="eastAsia"/>
              </w:rPr>
              <w:t>自我检查的结果</w:t>
            </w:r>
            <w:r>
              <w:rPr>
                <w:rFonts w:hint="eastAsia" w:ascii="Wingdings" w:hAnsi="Wingdings"/>
                <w:lang w:eastAsia="zh-CN"/>
              </w:rPr>
              <w:sym w:font="Wingdings 2" w:char="0052"/>
            </w:r>
            <w:r>
              <w:rPr>
                <w:rFonts w:hint="eastAsia"/>
              </w:rPr>
              <w:t>相关方投诉</w:t>
            </w:r>
            <w:r>
              <w:rPr>
                <w:rFonts w:hint="eastAsia" w:ascii="Wingdings" w:hAnsi="Wingdings"/>
                <w:lang w:eastAsia="zh-CN"/>
              </w:rPr>
              <w:sym w:font="Wingdings 2" w:char="0052"/>
            </w:r>
            <w:r>
              <w:rPr>
                <w:rFonts w:hint="eastAsia"/>
              </w:rPr>
              <w:t>主管部门要求整改</w:t>
            </w:r>
          </w:p>
          <w:p>
            <w:pPr>
              <w:shd w:val="clear" w:color="auto" w:fill="EBF1DE" w:themeFill="accent3"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4.1</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4.2</w:t>
            </w:r>
          </w:p>
        </w:tc>
        <w:tc>
          <w:tcPr>
            <w:tcW w:w="779"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4.3</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4.4</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5.1</w:t>
            </w:r>
          </w:p>
        </w:tc>
        <w:tc>
          <w:tcPr>
            <w:tcW w:w="779"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5.2</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5.3</w:t>
            </w:r>
          </w:p>
        </w:tc>
        <w:tc>
          <w:tcPr>
            <w:tcW w:w="779"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6.1</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6.2</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lang w:val="en-US" w:eastAsia="zh-CN"/>
              </w:rPr>
              <w:t>1</w:t>
            </w:r>
          </w:p>
        </w:tc>
        <w:tc>
          <w:tcPr>
            <w:tcW w:w="780" w:type="dxa"/>
            <w:shd w:val="clear" w:color="auto" w:fill="EBF1DE" w:themeFill="accent3" w:themeFillTint="32"/>
          </w:tcPr>
          <w:p>
            <w:pPr>
              <w:shd w:val="clear" w:color="auto" w:fill="EBF1DE" w:themeFill="accent3" w:themeFillTint="32"/>
              <w:rPr>
                <w:color w:val="auto"/>
                <w:lang w:eastAsia="ja-JP"/>
              </w:rPr>
            </w:pPr>
            <w:r>
              <w:rPr>
                <w:rFonts w:hint="eastAsia"/>
                <w:color w:val="auto"/>
                <w:lang w:val="en-US" w:eastAsia="zh-CN"/>
              </w:rPr>
              <w:t>1</w:t>
            </w:r>
          </w:p>
        </w:tc>
        <w:tc>
          <w:tcPr>
            <w:tcW w:w="779"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lang w:val="en-US" w:eastAsia="zh-CN"/>
              </w:rPr>
              <w:t>1</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lang w:val="en-US" w:eastAsia="zh-CN"/>
              </w:rPr>
              <w:t>1</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lang w:val="en-US" w:eastAsia="zh-CN"/>
              </w:rPr>
              <w:t>1</w:t>
            </w:r>
          </w:p>
        </w:tc>
        <w:tc>
          <w:tcPr>
            <w:tcW w:w="779"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lang w:val="en-US" w:eastAsia="zh-CN"/>
              </w:rPr>
              <w:t>1</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lang w:val="en-US" w:eastAsia="zh-CN"/>
              </w:rPr>
              <w:t>1</w:t>
            </w:r>
          </w:p>
        </w:tc>
        <w:tc>
          <w:tcPr>
            <w:tcW w:w="779"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lang w:val="en-US" w:eastAsia="zh-CN"/>
              </w:rPr>
              <w:t>1</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lang w:val="en-US" w:eastAsia="zh-CN"/>
              </w:rPr>
              <w:t>1</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color w:val="auto"/>
                <w:lang w:eastAsia="ja-JP"/>
              </w:rPr>
            </w:pPr>
          </w:p>
        </w:tc>
        <w:tc>
          <w:tcPr>
            <w:tcW w:w="780" w:type="dxa"/>
            <w:shd w:val="clear" w:color="auto" w:fill="EBF1DE" w:themeFill="accent3" w:themeFillTint="32"/>
          </w:tcPr>
          <w:p>
            <w:pPr>
              <w:shd w:val="clear" w:color="auto" w:fill="EBF1DE" w:themeFill="accent3" w:themeFillTint="32"/>
              <w:rPr>
                <w:color w:val="auto"/>
                <w:lang w:eastAsia="ja-JP"/>
              </w:rPr>
            </w:pPr>
          </w:p>
        </w:tc>
        <w:tc>
          <w:tcPr>
            <w:tcW w:w="779" w:type="dxa"/>
            <w:shd w:val="clear" w:color="auto" w:fill="EBF1DE" w:themeFill="accent3" w:themeFillTint="32"/>
            <w:vAlign w:val="center"/>
          </w:tcPr>
          <w:p>
            <w:pPr>
              <w:shd w:val="clear" w:color="auto" w:fill="EBF1DE" w:themeFill="accent3" w:themeFillTint="32"/>
              <w:rPr>
                <w:color w:val="auto"/>
                <w:lang w:eastAsia="ja-JP"/>
              </w:rPr>
            </w:pPr>
          </w:p>
        </w:tc>
        <w:tc>
          <w:tcPr>
            <w:tcW w:w="780" w:type="dxa"/>
            <w:shd w:val="clear" w:color="auto" w:fill="EBF1DE" w:themeFill="accent3" w:themeFillTint="32"/>
            <w:vAlign w:val="center"/>
          </w:tcPr>
          <w:p>
            <w:pPr>
              <w:shd w:val="clear" w:color="auto" w:fill="EBF1DE" w:themeFill="accent3" w:themeFillTint="32"/>
              <w:rPr>
                <w:color w:val="auto"/>
                <w:lang w:eastAsia="ja-JP"/>
              </w:rPr>
            </w:pPr>
          </w:p>
        </w:tc>
        <w:tc>
          <w:tcPr>
            <w:tcW w:w="780" w:type="dxa"/>
            <w:shd w:val="clear" w:color="auto" w:fill="EBF1DE" w:themeFill="accent3" w:themeFillTint="32"/>
            <w:vAlign w:val="center"/>
          </w:tcPr>
          <w:p>
            <w:pPr>
              <w:shd w:val="clear" w:color="auto" w:fill="EBF1DE" w:themeFill="accent3" w:themeFillTint="32"/>
              <w:rPr>
                <w:color w:val="auto"/>
                <w:lang w:eastAsia="ja-JP"/>
              </w:rPr>
            </w:pPr>
          </w:p>
        </w:tc>
        <w:tc>
          <w:tcPr>
            <w:tcW w:w="779" w:type="dxa"/>
            <w:shd w:val="clear" w:color="auto" w:fill="EBF1DE" w:themeFill="accent3" w:themeFillTint="32"/>
            <w:vAlign w:val="center"/>
          </w:tcPr>
          <w:p>
            <w:pPr>
              <w:shd w:val="clear" w:color="auto" w:fill="EBF1DE" w:themeFill="accent3" w:themeFillTint="32"/>
              <w:rPr>
                <w:color w:val="auto"/>
                <w:lang w:eastAsia="ja-JP"/>
              </w:rPr>
            </w:pPr>
          </w:p>
        </w:tc>
        <w:tc>
          <w:tcPr>
            <w:tcW w:w="780" w:type="dxa"/>
            <w:shd w:val="clear" w:color="auto" w:fill="EBF1DE" w:themeFill="accent3" w:themeFillTint="32"/>
            <w:vAlign w:val="center"/>
          </w:tcPr>
          <w:p>
            <w:pPr>
              <w:shd w:val="clear" w:color="auto" w:fill="EBF1DE" w:themeFill="accent3" w:themeFillTint="32"/>
              <w:rPr>
                <w:color w:val="auto"/>
                <w:lang w:eastAsia="ja-JP"/>
              </w:rPr>
            </w:pPr>
          </w:p>
        </w:tc>
        <w:tc>
          <w:tcPr>
            <w:tcW w:w="779" w:type="dxa"/>
            <w:shd w:val="clear" w:color="auto" w:fill="EBF1DE" w:themeFill="accent3" w:themeFillTint="32"/>
            <w:vAlign w:val="center"/>
          </w:tcPr>
          <w:p>
            <w:pPr>
              <w:shd w:val="clear" w:color="auto" w:fill="EBF1DE" w:themeFill="accent3" w:themeFillTint="32"/>
              <w:rPr>
                <w:color w:val="auto"/>
                <w:lang w:eastAsia="ja-JP"/>
              </w:rPr>
            </w:pPr>
          </w:p>
        </w:tc>
        <w:tc>
          <w:tcPr>
            <w:tcW w:w="780" w:type="dxa"/>
            <w:shd w:val="clear" w:color="auto" w:fill="EBF1DE" w:themeFill="accent3" w:themeFillTint="32"/>
            <w:vAlign w:val="center"/>
          </w:tcPr>
          <w:p>
            <w:pPr>
              <w:shd w:val="clear" w:color="auto" w:fill="EBF1DE" w:themeFill="accent3" w:themeFillTint="32"/>
              <w:rPr>
                <w:color w:val="auto"/>
                <w:lang w:eastAsia="ja-JP"/>
              </w:rPr>
            </w:pPr>
          </w:p>
        </w:tc>
        <w:tc>
          <w:tcPr>
            <w:tcW w:w="780" w:type="dxa"/>
            <w:shd w:val="clear" w:color="auto" w:fill="EBF1DE" w:themeFill="accent3" w:themeFillTint="32"/>
            <w:vAlign w:val="center"/>
          </w:tcPr>
          <w:p>
            <w:pPr>
              <w:shd w:val="clear" w:color="auto" w:fill="EBF1DE" w:themeFill="accent3" w:themeFillTint="32"/>
              <w:rPr>
                <w:color w:val="aut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7.2</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7.3</w:t>
            </w:r>
          </w:p>
        </w:tc>
        <w:tc>
          <w:tcPr>
            <w:tcW w:w="779"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7.4</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7.5</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8.1</w:t>
            </w:r>
          </w:p>
        </w:tc>
        <w:tc>
          <w:tcPr>
            <w:tcW w:w="779"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8.2</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9.1</w:t>
            </w:r>
          </w:p>
        </w:tc>
        <w:tc>
          <w:tcPr>
            <w:tcW w:w="779"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9.2</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9.3</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lang w:val="en-US" w:eastAsia="zh-CN"/>
              </w:rPr>
              <w:t>1</w:t>
            </w:r>
          </w:p>
        </w:tc>
        <w:tc>
          <w:tcPr>
            <w:tcW w:w="780" w:type="dxa"/>
            <w:shd w:val="clear" w:color="auto" w:fill="EBF1DE" w:themeFill="accent3" w:themeFillTint="32"/>
          </w:tcPr>
          <w:p>
            <w:pPr>
              <w:shd w:val="clear" w:color="auto" w:fill="EBF1DE" w:themeFill="accent3" w:themeFillTint="32"/>
              <w:rPr>
                <w:color w:val="auto"/>
                <w:lang w:eastAsia="ja-JP"/>
              </w:rPr>
            </w:pPr>
            <w:r>
              <w:rPr>
                <w:rFonts w:hint="eastAsia"/>
                <w:color w:val="auto"/>
                <w:lang w:val="en-US" w:eastAsia="zh-CN"/>
              </w:rPr>
              <w:t>1</w:t>
            </w:r>
          </w:p>
        </w:tc>
        <w:tc>
          <w:tcPr>
            <w:tcW w:w="779"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lang w:val="en-US" w:eastAsia="zh-CN"/>
              </w:rPr>
              <w:t>1</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lang w:val="en-US" w:eastAsia="zh-CN"/>
              </w:rPr>
              <w:t>1</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lang w:val="en-US" w:eastAsia="zh-CN"/>
              </w:rPr>
              <w:t>1</w:t>
            </w:r>
          </w:p>
        </w:tc>
        <w:tc>
          <w:tcPr>
            <w:tcW w:w="779"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lang w:val="en-US" w:eastAsia="zh-CN"/>
              </w:rPr>
              <w:t>1</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lang w:val="en-US" w:eastAsia="zh-CN"/>
              </w:rPr>
              <w:t>1</w:t>
            </w:r>
          </w:p>
        </w:tc>
        <w:tc>
          <w:tcPr>
            <w:tcW w:w="779"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lang w:val="en-US" w:eastAsia="zh-CN"/>
              </w:rPr>
              <w:t>1</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lang w:val="en-US" w:eastAsia="zh-CN"/>
              </w:rPr>
              <w:t>1</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sym w:font="Wingdings 2" w:char="00A3"/>
            </w:r>
            <w:r>
              <w:rPr>
                <w:spacing w:val="-2"/>
                <w:sz w:val="20"/>
              </w:rPr>
              <w:t>OHSMS</w:t>
            </w:r>
            <w:r>
              <w:rPr>
                <w:rFonts w:hint="eastAsia"/>
              </w:rPr>
              <w:t>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sym w:font="Wingdings 2" w:char="0052"/>
                  </w:r>
                  <w:r>
                    <w:rPr>
                      <w:rFonts w:hint="eastAsia"/>
                    </w:rPr>
                    <w:t>认知</w:t>
                  </w: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w:t>
                  </w:r>
                </w:p>
                <w:p>
                  <w:r>
                    <w:rPr>
                      <w:rFonts w:hint="eastAsia"/>
                    </w:rPr>
                    <w:sym w:font="Wingdings 2" w:char="0052"/>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sym w:font="Wingdings 2" w:char="0052"/>
            </w:r>
            <w:r>
              <w:rPr>
                <w:rFonts w:hint="eastAsia"/>
              </w:rPr>
              <w:t>安全作业控制</w:t>
            </w:r>
            <w:r>
              <w:rPr>
                <w:rFonts w:hint="eastAsia"/>
              </w:rPr>
              <w:sym w:font="Wingdings 2" w:char="0052"/>
            </w:r>
            <w:r>
              <w:rPr>
                <w:rFonts w:hint="eastAsia"/>
              </w:rPr>
              <w:t>职业危害管理</w:t>
            </w:r>
            <w:r>
              <w:rPr>
                <w:rFonts w:hint="eastAsia"/>
              </w:rPr>
              <w:sym w:font="Wingdings 2" w:char="0052"/>
            </w:r>
            <w:r>
              <w:rPr>
                <w:rFonts w:hint="eastAsia"/>
              </w:rPr>
              <w:t>消防控制</w:t>
            </w:r>
            <w:r>
              <w:rPr>
                <w:rFonts w:hint="eastAsia"/>
              </w:rPr>
              <w:sym w:font="Wingdings 2" w:char="0052"/>
            </w:r>
            <w:r>
              <w:rPr>
                <w:rFonts w:hint="eastAsia"/>
              </w:rPr>
              <w:t>危化品管理</w:t>
            </w:r>
            <w:r>
              <w:rPr>
                <w:rFonts w:hint="eastAsia"/>
              </w:rPr>
              <w:sym w:font="Wingdings 2" w:char="0052"/>
            </w:r>
            <w:r>
              <w:rPr>
                <w:rFonts w:hint="eastAsia"/>
              </w:rPr>
              <w:t>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sym w:font="Wingdings 2" w:char="0052"/>
            </w:r>
            <w:r>
              <w:rPr>
                <w:rFonts w:hint="eastAsia"/>
              </w:rPr>
              <w:t>危险废物处置□消防检测□生产/服务过程□安全监测□产品运输□设备维修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eastAsia="宋体"/>
                <w:lang w:eastAsia="zh-CN"/>
              </w:rPr>
            </w:pPr>
            <w:r>
              <w:rPr>
                <w:rFonts w:hint="eastAsia"/>
              </w:rPr>
              <w:t>最高管理者制定了文件化的职业健康安全</w:t>
            </w:r>
            <w:r>
              <w:rPr>
                <w:rFonts w:hint="eastAsia"/>
                <w:lang w:eastAsia="zh-CN"/>
              </w:rPr>
              <w:t>管理体系方针：以人为本  守法经营  和谐发展 科学管理  求实创新  创建一流</w:t>
            </w:r>
          </w:p>
          <w:p>
            <w:pPr>
              <w:rPr>
                <w:u w:val="single"/>
              </w:rPr>
            </w:pP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办公室</w:t>
            </w:r>
          </w:p>
          <w:p>
            <w:r>
              <w:rPr>
                <w:rFonts w:hint="eastAsia"/>
              </w:rPr>
              <w:t>安全的主管部门是——</w:t>
            </w:r>
            <w:r>
              <w:rPr>
                <w:rFonts w:hint="eastAsia"/>
                <w:lang w:val="en-US" w:eastAsia="zh-CN"/>
              </w:rPr>
              <w:t>办公室</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r>
              <w:rPr>
                <w:rFonts w:hint="eastAsia"/>
              </w:rPr>
              <w:t>员工代表是——赵家学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传染病的发生</w:t>
                  </w:r>
                </w:p>
              </w:tc>
              <w:tc>
                <w:tcPr>
                  <w:tcW w:w="3965" w:type="dxa"/>
                </w:tcPr>
                <w:p>
                  <w:r>
                    <w:rPr>
                      <w:rFonts w:hint="eastAsia"/>
                    </w:rPr>
                    <w:t>安全教育培训，加强员工自我防护意识，制定传染病应急预案，发放防护用品进行日常防护。</w:t>
                  </w:r>
                </w:p>
              </w:tc>
              <w:tc>
                <w:tcPr>
                  <w:tcW w:w="1717" w:type="dxa"/>
                </w:tcPr>
                <w:p>
                  <w:pPr>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制定的相关应急预案和预案培训不到位或缺失，预案演练不能按计划进行；</w:t>
                  </w:r>
                </w:p>
              </w:tc>
              <w:tc>
                <w:tcPr>
                  <w:tcW w:w="3965" w:type="dxa"/>
                </w:tcPr>
                <w:p>
                  <w:r>
                    <w:rPr>
                      <w:rFonts w:hint="eastAsia"/>
                    </w:rPr>
                    <w:t>定期组织对应急预案进行演练；</w:t>
                  </w:r>
                </w:p>
              </w:tc>
              <w:tc>
                <w:tcPr>
                  <w:tcW w:w="1717" w:type="dxa"/>
                </w:tcPr>
                <w:p>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sym w:font="Wingdings 2" w:char="0052"/>
            </w:r>
            <w:r>
              <w:rPr>
                <w:rFonts w:hint="eastAsia"/>
              </w:rPr>
              <w:t>机械伤害</w:t>
            </w:r>
            <w:r>
              <w:rPr>
                <w:rFonts w:hint="eastAsia"/>
              </w:rPr>
              <w:sym w:font="Wingdings 2" w:char="0052"/>
            </w:r>
            <w:r>
              <w:rPr>
                <w:rFonts w:hint="eastAsia"/>
              </w:rPr>
              <w:t>触电</w:t>
            </w:r>
            <w:r>
              <w:rPr>
                <w:rFonts w:hint="eastAsia"/>
              </w:rPr>
              <w:sym w:font="Wingdings 2" w:char="0052"/>
            </w:r>
            <w:r>
              <w:rPr>
                <w:rFonts w:hint="eastAsia"/>
              </w:rPr>
              <w:t>化学伤害</w:t>
            </w:r>
            <w:r>
              <w:rPr>
                <w:rFonts w:hint="eastAsia"/>
              </w:rPr>
              <w:sym w:font="Wingdings 2" w:char="0052"/>
            </w:r>
            <w:r>
              <w:rPr>
                <w:rFonts w:hint="eastAsia"/>
              </w:rPr>
              <w:t>噪声□粉尘□危险作业□高低温</w:t>
            </w:r>
            <w:r>
              <w:rPr>
                <w:rFonts w:hint="eastAsia"/>
              </w:rPr>
              <w:sym w:font="Wingdings 2" w:char="0052"/>
            </w:r>
            <w:r>
              <w:rPr>
                <w:rFonts w:hint="eastAsia"/>
              </w:rPr>
              <w:t>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pPr>
              <w:rPr>
                <w:rFonts w:hint="default" w:eastAsia="宋体"/>
                <w:lang w:val="en-US" w:eastAsia="zh-CN"/>
              </w:rPr>
            </w:pPr>
            <w:r>
              <w:rPr>
                <w:rFonts w:hint="eastAsia"/>
              </w:rPr>
              <w:sym w:font="Wingdings 2" w:char="00A3"/>
            </w:r>
            <w:r>
              <w:rPr>
                <w:rFonts w:hint="eastAsia"/>
              </w:rPr>
              <w:t>职业病体检报告书日期：</w:t>
            </w:r>
          </w:p>
          <w:p>
            <w:r>
              <w:rPr>
                <w:rFonts w:hint="eastAsia"/>
              </w:rPr>
              <w:t>□消防验收/备案证明日期：</w:t>
            </w:r>
          </w:p>
          <w:p>
            <w:pPr>
              <w:rPr>
                <w:color w:val="000000"/>
                <w:szCs w:val="18"/>
                <w:u w:val="single"/>
              </w:rPr>
            </w:pPr>
            <w:r>
              <w:rPr>
                <w:rFonts w:hint="eastAsia"/>
              </w:rPr>
              <w:sym w:font="Wingdings 2" w:char="00A3"/>
            </w:r>
            <w:r>
              <w:rPr>
                <w:rFonts w:hint="eastAsia"/>
              </w:rPr>
              <w:t>其他</w:t>
            </w:r>
            <w:r>
              <w:rPr>
                <w:rFonts w:hint="eastAsia"/>
                <w:lang w:eastAsia="zh-CN"/>
              </w:rPr>
              <w:t>——</w:t>
            </w:r>
          </w:p>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□安全装置□除尘设备</w:t>
            </w:r>
            <w:r>
              <w:rPr>
                <w:rFonts w:hint="eastAsia"/>
              </w:rPr>
              <w:sym w:font="Wingdings 2" w:char="0052"/>
            </w:r>
            <w:r>
              <w:rPr>
                <w:rFonts w:hint="eastAsia"/>
              </w:rPr>
              <w:t>漏电保护</w:t>
            </w:r>
            <w:r>
              <w:rPr>
                <w:rFonts w:hint="eastAsia"/>
              </w:rPr>
              <w:sym w:font="Wingdings 2" w:char="0052"/>
            </w:r>
            <w:r>
              <w:rPr>
                <w:rFonts w:hint="eastAsia"/>
              </w:rPr>
              <w:t>穿戴劳保用品□作业票管理□挂牌上锁管理</w:t>
            </w:r>
          </w:p>
          <w:p>
            <w:pPr>
              <w:rPr>
                <w:highlight w:val="cyan"/>
              </w:rPr>
            </w:pPr>
            <w:r>
              <w:rPr>
                <w:rFonts w:hint="eastAsia"/>
              </w:rPr>
              <w:sym w:font="Wingdings 2" w:char="0052"/>
            </w:r>
            <w:r>
              <w:rPr>
                <w:rFonts w:hint="eastAsia"/>
              </w:rPr>
              <w:t>危化品控制□压力容器检测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9"/>
              <w:tblpPr w:leftFromText="180" w:rightFromText="180" w:vertAnchor="text" w:horzAnchor="page" w:tblpXSpec="center" w:tblpY="466"/>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50"/>
              <w:gridCol w:w="2251"/>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0" w:type="auto"/>
                  <w:tcBorders>
                    <w:bottom w:val="single" w:color="auto" w:sz="4" w:space="0"/>
                  </w:tcBorders>
                  <w:noWrap w:val="0"/>
                  <w:vAlign w:val="center"/>
                </w:tcPr>
                <w:p>
                  <w:pPr>
                    <w:pStyle w:val="3"/>
                    <w:spacing w:before="80" w:beforeLines="20" w:after="80" w:afterLines="20" w:line="320" w:lineRule="exact"/>
                    <w:ind w:left="0"/>
                    <w:jc w:val="center"/>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分目标</w:t>
                  </w:r>
                </w:p>
              </w:tc>
              <w:tc>
                <w:tcPr>
                  <w:tcW w:w="0" w:type="auto"/>
                  <w:tcBorders>
                    <w:bottom w:val="single" w:color="auto" w:sz="4" w:space="0"/>
                  </w:tcBorders>
                  <w:noWrap w:val="0"/>
                  <w:vAlign w:val="center"/>
                </w:tcPr>
                <w:p>
                  <w:pPr>
                    <w:pStyle w:val="3"/>
                    <w:spacing w:before="80" w:beforeLines="20" w:after="80" w:afterLines="20" w:line="320" w:lineRule="exact"/>
                    <w:ind w:left="0"/>
                    <w:jc w:val="center"/>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考核方法</w:t>
                  </w:r>
                </w:p>
              </w:tc>
              <w:tc>
                <w:tcPr>
                  <w:tcW w:w="0" w:type="auto"/>
                  <w:tcBorders>
                    <w:bottom w:val="single" w:color="auto" w:sz="4" w:space="0"/>
                  </w:tcBorders>
                  <w:noWrap w:val="0"/>
                  <w:vAlign w:val="center"/>
                </w:tcPr>
                <w:p>
                  <w:pPr>
                    <w:pStyle w:val="3"/>
                    <w:spacing w:before="80" w:beforeLines="20" w:after="80" w:afterLines="20" w:line="320" w:lineRule="exact"/>
                    <w:ind w:left="0"/>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考核结果1-4月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楷体" w:hAnsi="楷体" w:eastAsia="仿宋_GB2312"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无重大人身伤亡事故、无重大生产设备事故</w:t>
                  </w: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安全事故统计一览表</w:t>
                  </w: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无重大火灾爆炸事故</w:t>
                  </w: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考核期内统计</w:t>
                  </w: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员工安全教育率：100%</w:t>
                  </w: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考核期内统计</w:t>
                  </w: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无职业病发生</w:t>
                  </w: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考核期内统计</w:t>
                  </w: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0</w:t>
                  </w:r>
                </w:p>
              </w:tc>
            </w:tr>
          </w:tbl>
          <w:p>
            <w:r>
              <w:rPr>
                <w:rFonts w:hint="eastAsia" w:ascii="Wingdings" w:hAnsi="Wingdings"/>
                <w:lang w:eastAsia="zh-CN"/>
              </w:rPr>
              <w:sym w:font="Wingdings 2" w:char="0052"/>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sym w:font="Wingdings 2" w:char="0052"/>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sym w:font="Wingdings 2" w:char="0052"/>
            </w:r>
            <w:r>
              <w:rPr>
                <w:rFonts w:hint="eastAsia"/>
              </w:rPr>
              <w:t>技术</w:t>
            </w:r>
            <w:r>
              <w:rPr>
                <w:rFonts w:hint="eastAsia" w:ascii="Wingdings" w:hAnsi="Wingdings"/>
                <w:lang w:eastAsia="zh-CN"/>
              </w:rPr>
              <w:sym w:font="Wingdings 2" w:char="0052"/>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pPr>
              <w:rPr>
                <w:rFonts w:hint="eastAsia"/>
              </w:rPr>
            </w:pPr>
            <w:r>
              <w:rPr>
                <w:rFonts w:hint="eastAsia"/>
              </w:rPr>
              <w:t>建筑面积</w:t>
            </w:r>
            <w:r>
              <w:rPr>
                <w:rFonts w:hint="eastAsia"/>
                <w:lang w:val="en-US" w:eastAsia="zh-CN"/>
              </w:rPr>
              <w:t>1.8万</w:t>
            </w:r>
            <w:r>
              <w:rPr>
                <w:rFonts w:hint="eastAsia"/>
              </w:rPr>
              <w:t>平方米；生产车间</w:t>
            </w:r>
            <w:r>
              <w:rPr>
                <w:rFonts w:hint="eastAsia"/>
                <w:lang w:val="en-US" w:eastAsia="zh-CN"/>
              </w:rPr>
              <w:t>2</w:t>
            </w:r>
            <w:r>
              <w:rPr>
                <w:rFonts w:hint="eastAsia"/>
              </w:rPr>
              <w:t>个；库房</w:t>
            </w:r>
            <w:r>
              <w:rPr>
                <w:rFonts w:hint="eastAsia"/>
                <w:lang w:val="en-US" w:eastAsia="zh-CN"/>
              </w:rPr>
              <w:t>2</w:t>
            </w:r>
            <w:r>
              <w:rPr>
                <w:rFonts w:hint="eastAsia"/>
              </w:rPr>
              <w:t>个；实验室</w:t>
            </w:r>
            <w:r>
              <w:rPr>
                <w:rFonts w:hint="eastAsia"/>
                <w:lang w:val="en-US" w:eastAsia="zh-CN"/>
              </w:rPr>
              <w:t>1</w:t>
            </w:r>
            <w:r>
              <w:rPr>
                <w:rFonts w:hint="eastAsia"/>
              </w:rPr>
              <w:t>个；</w:t>
            </w:r>
          </w:p>
          <w:p>
            <w:pPr>
              <w:rPr>
                <w:rFonts w:hint="eastAsia"/>
              </w:rPr>
            </w:pPr>
            <w:r>
              <w:rPr>
                <w:rFonts w:hint="eastAsia"/>
              </w:rPr>
              <w:t>主要生产设备有：</w:t>
            </w:r>
            <w:r>
              <w:rPr>
                <w:rFonts w:hint="eastAsia"/>
                <w:lang w:val="en-US" w:eastAsia="zh-CN"/>
              </w:rPr>
              <w:t xml:space="preserve">  切割机床、液晶投影机、剪刀机、立式钻床、缝包机、工业缝纫机</w:t>
            </w:r>
            <w:r>
              <w:rPr>
                <w:rFonts w:hint="eastAsia"/>
              </w:rPr>
              <w:t>（</w:t>
            </w:r>
            <w:r>
              <w:rPr>
                <w:rFonts w:hint="eastAsia"/>
                <w:lang w:val="en-US" w:eastAsia="zh-CN"/>
              </w:rPr>
              <w:t xml:space="preserve"> </w:t>
            </w:r>
            <w:r>
              <w:rPr>
                <w:rFonts w:hint="eastAsia"/>
              </w:rPr>
              <w:t>2~4种）</w:t>
            </w:r>
          </w:p>
          <w:p>
            <w:r>
              <w:rPr>
                <w:rFonts w:hint="eastAsia"/>
              </w:rPr>
              <w:t>主要安全装置有：</w:t>
            </w:r>
          </w:p>
          <w:p>
            <w:r>
              <w:rPr>
                <w:rFonts w:hint="eastAsia" w:ascii="Wingdings" w:hAnsi="Wingdings"/>
                <w:lang w:eastAsia="zh-CN"/>
              </w:rPr>
              <w:t>□</w:t>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sym w:font="Wingdings 2" w:char="0052"/>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sym w:font="Wingdings 2" w:char="0052"/>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sym w:font="Wingdings 2" w:char="0052"/>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sym w:font="Wingdings 2" w:char="0052"/>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sym w:font="Wingdings 2" w:char="0052"/>
            </w:r>
            <w:r>
              <w:rPr>
                <w:rFonts w:hint="eastAsia"/>
              </w:rPr>
              <w:t>电工</w:t>
            </w:r>
            <w:r>
              <w:rPr>
                <w:rFonts w:hint="eastAsia" w:ascii="Wingdings" w:hAnsi="Wingdings"/>
                <w:lang w:eastAsia="zh-CN"/>
              </w:rPr>
              <w:sym w:font="Wingdings 2" w:char="0052"/>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sym w:font="Wingdings 2" w:char="00A3"/>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看板</w:t>
            </w:r>
            <w:r>
              <w:rPr>
                <w:rFonts w:hint="eastAsia" w:ascii="Wingdings" w:hAnsi="Wingdings"/>
                <w:lang w:eastAsia="zh-CN"/>
              </w:rPr>
              <w:sym w:font="Wingdings 2" w:char="0052"/>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sym w:font="Wingdings 2" w:char="0052"/>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离职</w:t>
            </w:r>
          </w:p>
          <w:p>
            <w:r>
              <w:rPr>
                <w:rFonts w:hint="eastAsia"/>
              </w:rPr>
              <w:t>实施了员工职业危害告知：</w:t>
            </w:r>
            <w:r>
              <w:rPr>
                <w:rFonts w:hint="eastAsia" w:ascii="Wingdings" w:hAnsi="Wingdings"/>
                <w:lang w:eastAsia="zh-CN"/>
              </w:rPr>
              <w:sym w:font="Wingdings 2" w:char="0052"/>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sym w:font="Wingdings 2" w:char="0052"/>
            </w:r>
            <w:r>
              <w:rPr>
                <w:rFonts w:hint="eastAsia"/>
              </w:rPr>
              <w:t xml:space="preserve">MSDS   </w:t>
            </w:r>
            <w:r>
              <w:rPr>
                <w:rFonts w:hint="eastAsia" w:ascii="Wingdings" w:hAnsi="Wingdings"/>
                <w:lang w:eastAsia="zh-CN"/>
              </w:rPr>
              <w:sym w:font="Wingdings 2" w:char="0052"/>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sym w:font="Wingdings 2" w:char="0052"/>
            </w:r>
            <w:r>
              <w:rPr>
                <w:rFonts w:hint="eastAsia"/>
              </w:rPr>
              <w:t>消除危险源；</w:t>
            </w:r>
          </w:p>
          <w:p>
            <w:r>
              <w:rPr>
                <w:rFonts w:hint="eastAsia" w:ascii="Wingdings" w:hAnsi="Wingdings"/>
                <w:lang w:eastAsia="zh-CN"/>
              </w:rPr>
              <w:sym w:font="Wingdings 2" w:char="0052"/>
            </w:r>
            <w:r>
              <w:rPr>
                <w:rFonts w:hint="eastAsia"/>
              </w:rPr>
              <w:t>用低危害材料、工艺、运行或设备替代；</w:t>
            </w:r>
          </w:p>
          <w:p>
            <w:r>
              <w:rPr>
                <w:rFonts w:hint="eastAsia" w:ascii="Wingdings" w:hAnsi="Wingdings"/>
                <w:lang w:eastAsia="zh-CN"/>
              </w:rPr>
              <w:sym w:font="Wingdings 2" w:char="0052"/>
            </w:r>
            <w:r>
              <w:rPr>
                <w:rFonts w:hint="eastAsia"/>
              </w:rPr>
              <w:t>使用工程控制措施和（或）重新组织工作；</w:t>
            </w:r>
          </w:p>
          <w:p>
            <w:r>
              <w:rPr>
                <w:rFonts w:hint="eastAsia" w:ascii="Wingdings" w:hAnsi="Wingdings"/>
                <w:lang w:eastAsia="zh-CN"/>
              </w:rPr>
              <w:sym w:font="Wingdings 2" w:char="0052"/>
            </w:r>
            <w:r>
              <w:rPr>
                <w:rFonts w:hint="eastAsia"/>
              </w:rPr>
              <w:t>使用管理措施，包括培训；</w:t>
            </w:r>
          </w:p>
          <w:p>
            <w:r>
              <w:rPr>
                <w:rFonts w:hint="eastAsia" w:ascii="Wingdings" w:hAnsi="Wingdings"/>
                <w:lang w:eastAsia="zh-CN"/>
              </w:rPr>
              <w:sym w:font="Wingdings 2" w:char="0052"/>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sym w:font="Wingdings 2" w:char="0052"/>
            </w:r>
            <w:r>
              <w:rPr>
                <w:rFonts w:hint="eastAsia"/>
              </w:rPr>
              <w:t>应急预案</w:t>
            </w:r>
            <w:r>
              <w:rPr>
                <w:rFonts w:hint="eastAsia" w:ascii="Wingdings" w:hAnsi="Wingdings"/>
                <w:lang w:eastAsia="zh-CN"/>
              </w:rPr>
              <w:sym w:font="Wingdings 2" w:char="0052"/>
            </w:r>
            <w:r>
              <w:rPr>
                <w:rFonts w:hint="eastAsia"/>
              </w:rPr>
              <w:t>MSDS</w:t>
            </w:r>
            <w:r>
              <w:rPr>
                <w:rFonts w:hint="eastAsia" w:ascii="Wingdings" w:hAnsi="Wingdings"/>
                <w:lang w:eastAsia="zh-CN"/>
              </w:rPr>
              <w:t>□</w:t>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w:t>
            </w:r>
            <w:r>
              <w:rPr>
                <w:rFonts w:hint="eastAsia"/>
                <w:lang w:eastAsia="zh-CN"/>
              </w:rPr>
              <w:t>项目名称：昆明兰博面包工坊食品有限公司 招牌鲜奶土司袋（</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sym w:font="Wingdings 2" w:char="0052"/>
                  </w:r>
                  <w:r>
                    <w:rPr>
                      <w:rFonts w:hint="eastAsia"/>
                    </w:rPr>
                    <w:t>安全装置</w:t>
                  </w:r>
                  <w:r>
                    <w:rPr>
                      <w:rFonts w:hint="eastAsia"/>
                    </w:rPr>
                    <w:sym w:font="Wingdings 2" w:char="0052"/>
                  </w:r>
                  <w:r>
                    <w:rPr>
                      <w:rFonts w:hint="eastAsia"/>
                    </w:rPr>
                    <w:t>挂牌上锁管理</w:t>
                  </w:r>
                </w:p>
              </w:tc>
              <w:tc>
                <w:tcPr>
                  <w:tcW w:w="2205" w:type="dxa"/>
                </w:tcPr>
                <w:p>
                  <w:pPr>
                    <w:jc w:val="left"/>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漏电保护</w:t>
                  </w:r>
                  <w:r>
                    <w:rPr>
                      <w:rFonts w:hint="eastAsia"/>
                    </w:rPr>
                    <w:sym w:font="Wingdings 2" w:char="0052"/>
                  </w:r>
                  <w:r>
                    <w:rPr>
                      <w:rFonts w:hint="eastAsia"/>
                    </w:rPr>
                    <w:t>绝缘用具检测</w:t>
                  </w:r>
                </w:p>
              </w:tc>
              <w:tc>
                <w:tcPr>
                  <w:tcW w:w="2205"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粉尘</w:t>
                  </w:r>
                </w:p>
              </w:tc>
              <w:tc>
                <w:tcPr>
                  <w:tcW w:w="4725" w:type="dxa"/>
                </w:tcPr>
                <w:p>
                  <w:pPr>
                    <w:jc w:val="left"/>
                  </w:pPr>
                  <w:r>
                    <w:rPr>
                      <w:rFonts w:hint="eastAsia"/>
                    </w:rPr>
                    <w:t>□除尘装置□穿戴劳保用品（防尘面罩）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w:t>
                  </w:r>
                  <w:r>
                    <w:rPr>
                      <w:rFonts w:hint="eastAsia"/>
                    </w:rPr>
                    <w:sym w:font="Wingdings 2" w:char="0052"/>
                  </w:r>
                  <w:r>
                    <w:rPr>
                      <w:rFonts w:hint="eastAsia"/>
                    </w:rPr>
                    <w:t>排风系统</w:t>
                  </w:r>
                  <w:r>
                    <w:rPr>
                      <w:rFonts w:hint="eastAsia"/>
                    </w:rPr>
                    <w:sym w:font="Wingdings 2" w:char="0052"/>
                  </w:r>
                  <w:r>
                    <w:rPr>
                      <w:rFonts w:hint="eastAsia"/>
                    </w:rPr>
                    <w:t>穿戴劳保用品</w:t>
                  </w:r>
                </w:p>
              </w:tc>
              <w:tc>
                <w:tcPr>
                  <w:tcW w:w="2205"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w:t>
                  </w:r>
                  <w:r>
                    <w:rPr>
                      <w:rFonts w:hint="eastAsia"/>
                    </w:rPr>
                    <w:sym w:font="Wingdings 2" w:char="0052"/>
                  </w:r>
                  <w:r>
                    <w:rPr>
                      <w:rFonts w:hint="eastAsia"/>
                    </w:rPr>
                    <w:t>穿戴劳保用品</w:t>
                  </w:r>
                </w:p>
              </w:tc>
              <w:tc>
                <w:tcPr>
                  <w:tcW w:w="2205"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sym w:font="Wingdings 2" w:char="00A3"/>
                  </w: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pPr>
                  <w:r>
                    <w:rPr>
                      <w:rFonts w:hint="eastAsia"/>
                    </w:rPr>
                    <w:sym w:font="Wingdings 2" w:char="0052"/>
                  </w:r>
                  <w:r>
                    <w:rPr>
                      <w:rFonts w:hint="eastAsia"/>
                    </w:rPr>
                    <w:t>管理方案、运行控制、应急预案</w:t>
                  </w:r>
                </w:p>
              </w:tc>
              <w:tc>
                <w:tcPr>
                  <w:tcW w:w="2205"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sym w:font="Wingdings 2" w:char="00A3"/>
            </w:r>
            <w:r>
              <w:rPr>
                <w:rFonts w:hint="eastAsia"/>
              </w:rPr>
              <w:t>进行了定期检验</w:t>
            </w:r>
            <w:r>
              <w:rPr>
                <w:rFonts w:hint="eastAsia" w:ascii="Wingdings" w:hAnsi="Wingdings"/>
                <w:lang w:eastAsia="zh-CN"/>
              </w:rPr>
              <w:t>□</w:t>
            </w:r>
            <w:r>
              <w:rPr>
                <w:rFonts w:hint="eastAsia"/>
              </w:rPr>
              <w:t>未进行定期检验的有：</w:t>
            </w:r>
          </w:p>
          <w:p>
            <w:r>
              <w:rPr>
                <w:rFonts w:hint="eastAsia"/>
                <w:lang w:eastAsia="zh-CN"/>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sym w:font="Wingdings 2" w:char="0052"/>
            </w:r>
            <w:r>
              <w:rPr>
                <w:rFonts w:hint="eastAsia"/>
              </w:rPr>
              <w:t>MSDS</w:t>
            </w:r>
            <w:r>
              <w:rPr>
                <w:rFonts w:hint="eastAsia" w:ascii="Wingdings" w:hAnsi="Wingdings"/>
                <w:lang w:eastAsia="zh-CN"/>
              </w:rPr>
              <w:sym w:font="Wingdings 2" w:char="0052"/>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
            <w:r>
              <w:rPr>
                <w:rFonts w:hint="eastAsia"/>
                <w:lang w:eastAsia="zh-CN"/>
              </w:rPr>
              <w:t>于2021年9月25日进行了的演练</w:t>
            </w:r>
            <w:r>
              <w:rPr>
                <w:rFonts w:hint="eastAsia"/>
              </w:rPr>
              <w:t>；并总结了预案的可行性和有效性。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pPr>
              <w:rPr>
                <w:rFonts w:hint="eastAsia" w:eastAsia="宋体"/>
                <w:lang w:eastAsia="zh-CN"/>
              </w:rPr>
            </w:pPr>
            <w:r>
              <w:rPr>
                <w:rFonts w:hint="eastAsia" w:ascii="Wingdings" w:hAnsi="Wingdings"/>
                <w:lang w:eastAsia="zh-CN"/>
              </w:rPr>
              <w:sym w:font="Wingdings 2" w:char="0052"/>
            </w:r>
            <w:r>
              <w:rPr>
                <w:rFonts w:hint="eastAsia"/>
                <w:lang w:eastAsia="zh-CN"/>
              </w:rPr>
              <w:t>定期（每年）：2022年1月8日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rPr>
                <w:color w:val="000000"/>
                <w:szCs w:val="18"/>
                <w:u w:val="single"/>
              </w:rPr>
            </w:pPr>
            <w:r>
              <w:rPr>
                <w:rFonts w:hint="eastAsia"/>
                <w:color w:val="000000"/>
                <w:szCs w:val="18"/>
              </w:rPr>
              <w:t>《作业场所有害物质监测报告》：颁发日期：</w:t>
            </w:r>
          </w:p>
          <w:p>
            <w:r>
              <w:rPr>
                <w:rFonts w:hint="eastAsia"/>
              </w:rPr>
              <w:t>职业病体检：</w:t>
            </w:r>
            <w:r>
              <w:rPr>
                <w:rFonts w:hint="eastAsia" w:ascii="Wingdings" w:hAnsi="Wingdings"/>
                <w:lang w:eastAsia="zh-CN"/>
              </w:rPr>
              <w:sym w:font="Wingdings 2" w:char="00A3"/>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sym w:font="Wingdings 2" w:char="00A3"/>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w:t>
            </w:r>
            <w:r>
              <w:rPr>
                <w:rFonts w:hint="eastAsia"/>
                <w:lang w:eastAsia="zh-CN"/>
              </w:rPr>
              <w:t>年度策划于2022年1月20日-21日实施了</w:t>
            </w:r>
            <w:r>
              <w:rPr>
                <w:rFonts w:hint="eastAsia"/>
              </w:rPr>
              <w:t>职业健康安全管理体系内部审核，对职业健康安全管理体系的符合性和有效性进行了审核。</w:t>
            </w:r>
            <w:r>
              <w:rPr>
                <w:rFonts w:hint="eastAsia"/>
                <w:lang w:eastAsia="zh-CN"/>
              </w:rPr>
              <w:t>内审发现的2项</w:t>
            </w:r>
            <w:r>
              <w:rPr>
                <w:rFonts w:hint="eastAsia"/>
              </w:rPr>
              <w:t>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w:t>
            </w:r>
            <w:r>
              <w:rPr>
                <w:rFonts w:hint="eastAsia"/>
                <w:lang w:eastAsia="zh-CN"/>
              </w:rPr>
              <w:t>在2022年2月23日对组织的</w:t>
            </w:r>
            <w:r>
              <w:rPr>
                <w:rFonts w:hint="eastAsia"/>
              </w:rPr>
              <w:t>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sym w:font="Wingdings 2" w:char="0052"/>
            </w:r>
            <w:r>
              <w:rPr>
                <w:rFonts w:hint="eastAsia"/>
              </w:rPr>
              <w:t>检测结果不合格</w:t>
            </w:r>
            <w:r>
              <w:rPr>
                <w:rFonts w:hint="eastAsia" w:ascii="Wingdings" w:hAnsi="Wingdings"/>
                <w:lang w:eastAsia="zh-CN"/>
              </w:rPr>
              <w:sym w:font="Wingdings 2" w:char="0052"/>
            </w:r>
            <w:r>
              <w:rPr>
                <w:rFonts w:hint="eastAsia"/>
              </w:rPr>
              <w:t>自我检查的不符合</w:t>
            </w:r>
            <w:r>
              <w:rPr>
                <w:rFonts w:hint="eastAsia" w:ascii="Wingdings" w:hAnsi="Wingdings"/>
                <w:lang w:eastAsia="zh-CN"/>
              </w:rPr>
              <w:sym w:font="Wingdings 2" w:char="0052"/>
            </w:r>
            <w:r>
              <w:rPr>
                <w:rFonts w:hint="eastAsia"/>
              </w:rPr>
              <w:t>相关方投诉</w:t>
            </w:r>
            <w:r>
              <w:rPr>
                <w:rFonts w:hint="eastAsia" w:ascii="Wingdings" w:hAnsi="Wingdings"/>
                <w:lang w:eastAsia="zh-CN"/>
              </w:rPr>
              <w:sym w:font="Wingdings 2" w:char="0052"/>
            </w:r>
            <w:r>
              <w:rPr>
                <w:rFonts w:hint="eastAsia"/>
              </w:rPr>
              <w:t>主管部门要求整改</w:t>
            </w:r>
          </w:p>
          <w:p>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3"/>
      </w:pPr>
    </w:p>
    <w:tbl>
      <w:tblPr>
        <w:tblStyle w:val="9"/>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bookmarkStart w:id="34" w:name="_GoBack" w:colFirst="1" w:colLast="9"/>
            <w:r>
              <w:rPr>
                <w:rFonts w:hint="eastAsia"/>
                <w:lang w:val="en-GB"/>
              </w:rPr>
              <w:t>评价*)</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8" w:type="dxa"/>
            <w:shd w:val="clear" w:color="auto" w:fill="F2DCDC" w:themeFill="accent2" w:themeFillTint="32"/>
            <w:vAlign w:val="center"/>
          </w:tcPr>
          <w:p>
            <w:pPr>
              <w:rPr>
                <w:color w:val="auto"/>
                <w:lang w:eastAsia="ja-JP"/>
              </w:rPr>
            </w:pPr>
            <w:r>
              <w:rPr>
                <w:rFonts w:hint="eastAsia"/>
                <w:color w:val="auto"/>
                <w:lang w:val="en-US" w:eastAsia="zh-CN"/>
              </w:rPr>
              <w:t>1</w:t>
            </w:r>
          </w:p>
        </w:tc>
        <w:tc>
          <w:tcPr>
            <w:tcW w:w="768" w:type="dxa"/>
            <w:shd w:val="clear" w:color="auto" w:fill="F2DCDC" w:themeFill="accent2" w:themeFillTint="32"/>
            <w:vAlign w:val="center"/>
          </w:tcPr>
          <w:p>
            <w:pPr>
              <w:rPr>
                <w:color w:val="auto"/>
                <w:lang w:eastAsia="ja-JP"/>
              </w:rPr>
            </w:pPr>
            <w:r>
              <w:rPr>
                <w:rFonts w:hint="eastAsia"/>
                <w:color w:val="auto"/>
                <w:lang w:val="en-US" w:eastAsia="zh-CN"/>
              </w:rPr>
              <w:t>1</w:t>
            </w:r>
          </w:p>
        </w:tc>
        <w:tc>
          <w:tcPr>
            <w:tcW w:w="769" w:type="dxa"/>
            <w:shd w:val="clear" w:color="auto" w:fill="F2DCDC" w:themeFill="accent2" w:themeFillTint="32"/>
            <w:vAlign w:val="center"/>
          </w:tcPr>
          <w:p>
            <w:pPr>
              <w:rPr>
                <w:color w:val="auto"/>
                <w:lang w:eastAsia="ja-JP"/>
              </w:rPr>
            </w:pPr>
            <w:r>
              <w:rPr>
                <w:rFonts w:hint="eastAsia"/>
                <w:color w:val="auto"/>
                <w:lang w:val="en-US" w:eastAsia="zh-CN"/>
              </w:rPr>
              <w:t>1</w:t>
            </w:r>
          </w:p>
        </w:tc>
        <w:tc>
          <w:tcPr>
            <w:tcW w:w="768" w:type="dxa"/>
            <w:shd w:val="clear" w:color="auto" w:fill="F2DCDC" w:themeFill="accent2" w:themeFillTint="32"/>
            <w:vAlign w:val="center"/>
          </w:tcPr>
          <w:p>
            <w:pPr>
              <w:rPr>
                <w:color w:val="auto"/>
                <w:lang w:eastAsia="ja-JP"/>
              </w:rPr>
            </w:pPr>
            <w:r>
              <w:rPr>
                <w:rFonts w:hint="eastAsia"/>
                <w:color w:val="auto"/>
                <w:lang w:val="en-US" w:eastAsia="zh-CN"/>
              </w:rPr>
              <w:t>1</w:t>
            </w:r>
          </w:p>
        </w:tc>
        <w:tc>
          <w:tcPr>
            <w:tcW w:w="768" w:type="dxa"/>
            <w:shd w:val="clear" w:color="auto" w:fill="F2DCDC" w:themeFill="accent2" w:themeFillTint="32"/>
            <w:vAlign w:val="center"/>
          </w:tcPr>
          <w:p>
            <w:pPr>
              <w:rPr>
                <w:color w:val="auto"/>
                <w:lang w:eastAsia="ja-JP"/>
              </w:rPr>
            </w:pPr>
            <w:r>
              <w:rPr>
                <w:rFonts w:hint="eastAsia"/>
                <w:color w:val="auto"/>
                <w:lang w:val="en-US" w:eastAsia="zh-CN"/>
              </w:rPr>
              <w:t>1</w:t>
            </w:r>
          </w:p>
        </w:tc>
        <w:tc>
          <w:tcPr>
            <w:tcW w:w="769" w:type="dxa"/>
            <w:shd w:val="clear" w:color="auto" w:fill="F2DCDC" w:themeFill="accent2" w:themeFillTint="32"/>
            <w:vAlign w:val="center"/>
          </w:tcPr>
          <w:p>
            <w:pPr>
              <w:rPr>
                <w:color w:val="auto"/>
                <w:lang w:eastAsia="ja-JP"/>
              </w:rPr>
            </w:pPr>
            <w:r>
              <w:rPr>
                <w:rFonts w:hint="eastAsia"/>
                <w:color w:val="auto"/>
                <w:lang w:val="en-US" w:eastAsia="zh-CN"/>
              </w:rPr>
              <w:t>1</w:t>
            </w:r>
          </w:p>
        </w:tc>
        <w:tc>
          <w:tcPr>
            <w:tcW w:w="768" w:type="dxa"/>
            <w:shd w:val="clear" w:color="auto" w:fill="F2DCDC" w:themeFill="accent2" w:themeFillTint="32"/>
            <w:vAlign w:val="center"/>
          </w:tcPr>
          <w:p>
            <w:pPr>
              <w:rPr>
                <w:color w:val="auto"/>
                <w:lang w:eastAsia="ja-JP"/>
              </w:rPr>
            </w:pPr>
            <w:r>
              <w:rPr>
                <w:rFonts w:hint="eastAsia"/>
                <w:color w:val="auto"/>
                <w:lang w:val="en-US" w:eastAsia="zh-CN"/>
              </w:rPr>
              <w:t>1</w:t>
            </w:r>
          </w:p>
        </w:tc>
        <w:tc>
          <w:tcPr>
            <w:tcW w:w="768" w:type="dxa"/>
            <w:shd w:val="clear" w:color="auto" w:fill="F2DCDC" w:themeFill="accent2" w:themeFillTint="32"/>
            <w:vAlign w:val="center"/>
          </w:tcPr>
          <w:p>
            <w:pPr>
              <w:rPr>
                <w:color w:val="auto"/>
                <w:lang w:eastAsia="ja-JP"/>
              </w:rPr>
            </w:pPr>
            <w:r>
              <w:rPr>
                <w:rFonts w:hint="eastAsia"/>
                <w:color w:val="auto"/>
                <w:lang w:val="en-US" w:eastAsia="zh-CN"/>
              </w:rPr>
              <w:t>1</w:t>
            </w:r>
          </w:p>
        </w:tc>
        <w:tc>
          <w:tcPr>
            <w:tcW w:w="769" w:type="dxa"/>
            <w:shd w:val="clear" w:color="auto" w:fill="F2DCDC" w:themeFill="accent2" w:themeFillTint="32"/>
            <w:vAlign w:val="center"/>
          </w:tcPr>
          <w:p>
            <w:pPr>
              <w:rPr>
                <w:color w:val="FF0000"/>
                <w:lang w:eastAsia="ja-JP"/>
              </w:rPr>
            </w:pPr>
            <w:r>
              <w:rPr>
                <w:rFonts w:hint="eastAsia"/>
                <w:color w:val="FF000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9"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9"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color w:val="auto"/>
                <w:lang w:eastAsia="ja-JP"/>
              </w:rPr>
            </w:pPr>
            <w:r>
              <w:rPr>
                <w:rFonts w:hint="eastAsia"/>
                <w:color w:val="auto"/>
              </w:rPr>
              <w:t>7.1</w:t>
            </w:r>
          </w:p>
        </w:tc>
        <w:tc>
          <w:tcPr>
            <w:tcW w:w="768" w:type="dxa"/>
            <w:shd w:val="clear" w:color="auto" w:fill="F2DCDC" w:themeFill="accent2" w:themeFillTint="32"/>
            <w:vAlign w:val="center"/>
          </w:tcPr>
          <w:p>
            <w:pPr>
              <w:rPr>
                <w:color w:val="auto"/>
                <w:lang w:eastAsia="ja-JP"/>
              </w:rPr>
            </w:pPr>
            <w:r>
              <w:rPr>
                <w:rFonts w:hint="eastAsia"/>
                <w:color w:val="auto"/>
              </w:rPr>
              <w:t>7.2</w:t>
            </w:r>
          </w:p>
        </w:tc>
        <w:tc>
          <w:tcPr>
            <w:tcW w:w="768" w:type="dxa"/>
            <w:shd w:val="clear" w:color="auto" w:fill="F2DCDC" w:themeFill="accent2" w:themeFillTint="32"/>
            <w:vAlign w:val="center"/>
          </w:tcPr>
          <w:p>
            <w:pPr>
              <w:rPr>
                <w:color w:val="auto"/>
                <w:lang w:eastAsia="ja-JP"/>
              </w:rPr>
            </w:pPr>
            <w:r>
              <w:rPr>
                <w:rFonts w:hint="eastAsia"/>
                <w:color w:val="auto"/>
              </w:rPr>
              <w:t>7.3</w:t>
            </w:r>
          </w:p>
        </w:tc>
        <w:tc>
          <w:tcPr>
            <w:tcW w:w="769" w:type="dxa"/>
            <w:shd w:val="clear" w:color="auto" w:fill="F2DCDC" w:themeFill="accent2" w:themeFillTint="32"/>
            <w:vAlign w:val="center"/>
          </w:tcPr>
          <w:p>
            <w:pPr>
              <w:rPr>
                <w:color w:val="auto"/>
                <w:lang w:eastAsia="ja-JP"/>
              </w:rPr>
            </w:pPr>
            <w:r>
              <w:rPr>
                <w:rFonts w:hint="eastAsia"/>
                <w:color w:val="auto"/>
              </w:rPr>
              <w:t>7.4</w:t>
            </w:r>
          </w:p>
        </w:tc>
        <w:tc>
          <w:tcPr>
            <w:tcW w:w="768" w:type="dxa"/>
            <w:shd w:val="clear" w:color="auto" w:fill="F2DCDC" w:themeFill="accent2" w:themeFillTint="32"/>
            <w:vAlign w:val="center"/>
          </w:tcPr>
          <w:p>
            <w:pPr>
              <w:rPr>
                <w:color w:val="auto"/>
                <w:lang w:eastAsia="ja-JP"/>
              </w:rPr>
            </w:pPr>
            <w:r>
              <w:rPr>
                <w:rFonts w:hint="eastAsia"/>
                <w:color w:val="auto"/>
              </w:rPr>
              <w:t>7.5</w:t>
            </w:r>
          </w:p>
        </w:tc>
        <w:tc>
          <w:tcPr>
            <w:tcW w:w="768" w:type="dxa"/>
            <w:shd w:val="clear" w:color="auto" w:fill="F2DCDC" w:themeFill="accent2" w:themeFillTint="32"/>
            <w:vAlign w:val="center"/>
          </w:tcPr>
          <w:p>
            <w:pPr>
              <w:rPr>
                <w:color w:val="auto"/>
                <w:lang w:eastAsia="ja-JP"/>
              </w:rPr>
            </w:pPr>
            <w:r>
              <w:rPr>
                <w:rFonts w:hint="eastAsia"/>
                <w:color w:val="auto"/>
              </w:rPr>
              <w:t>8.1</w:t>
            </w:r>
          </w:p>
        </w:tc>
        <w:tc>
          <w:tcPr>
            <w:tcW w:w="769" w:type="dxa"/>
            <w:shd w:val="clear" w:color="auto" w:fill="F2DCDC" w:themeFill="accent2" w:themeFillTint="32"/>
            <w:vAlign w:val="center"/>
          </w:tcPr>
          <w:p>
            <w:pPr>
              <w:rPr>
                <w:color w:val="auto"/>
                <w:lang w:eastAsia="ja-JP"/>
              </w:rPr>
            </w:pPr>
            <w:r>
              <w:rPr>
                <w:rFonts w:hint="eastAsia"/>
                <w:color w:val="auto"/>
              </w:rPr>
              <w:t>8.2</w:t>
            </w:r>
          </w:p>
        </w:tc>
        <w:tc>
          <w:tcPr>
            <w:tcW w:w="768" w:type="dxa"/>
            <w:shd w:val="clear" w:color="auto" w:fill="F2DCDC" w:themeFill="accent2" w:themeFillTint="32"/>
            <w:vAlign w:val="center"/>
          </w:tcPr>
          <w:p>
            <w:pPr>
              <w:rPr>
                <w:color w:val="auto"/>
                <w:lang w:eastAsia="ja-JP"/>
              </w:rPr>
            </w:pPr>
            <w:r>
              <w:rPr>
                <w:rFonts w:hint="eastAsia"/>
                <w:color w:val="auto"/>
              </w:rPr>
              <w:t>9.1</w:t>
            </w:r>
          </w:p>
        </w:tc>
        <w:tc>
          <w:tcPr>
            <w:tcW w:w="768" w:type="dxa"/>
            <w:shd w:val="clear" w:color="auto" w:fill="F2DCDC" w:themeFill="accent2" w:themeFillTint="32"/>
            <w:vAlign w:val="center"/>
          </w:tcPr>
          <w:p>
            <w:pPr>
              <w:rPr>
                <w:color w:val="auto"/>
                <w:lang w:eastAsia="ja-JP"/>
              </w:rPr>
            </w:pPr>
            <w:r>
              <w:rPr>
                <w:rFonts w:hint="eastAsia"/>
                <w:color w:val="auto"/>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color w:val="auto"/>
                <w:lang w:eastAsia="ja-JP"/>
              </w:rPr>
            </w:pPr>
            <w:r>
              <w:rPr>
                <w:rFonts w:hint="eastAsia"/>
                <w:color w:val="auto"/>
                <w:lang w:val="en-US" w:eastAsia="zh-CN"/>
              </w:rPr>
              <w:t>1</w:t>
            </w:r>
          </w:p>
        </w:tc>
        <w:tc>
          <w:tcPr>
            <w:tcW w:w="768" w:type="dxa"/>
            <w:shd w:val="clear" w:color="auto" w:fill="F2DCDC" w:themeFill="accent2" w:themeFillTint="32"/>
            <w:vAlign w:val="center"/>
          </w:tcPr>
          <w:p>
            <w:pPr>
              <w:rPr>
                <w:color w:val="auto"/>
                <w:lang w:eastAsia="ja-JP"/>
              </w:rPr>
            </w:pPr>
            <w:r>
              <w:rPr>
                <w:rFonts w:hint="eastAsia"/>
                <w:color w:val="auto"/>
                <w:lang w:val="en-US" w:eastAsia="zh-CN"/>
              </w:rPr>
              <w:t>1</w:t>
            </w:r>
          </w:p>
        </w:tc>
        <w:tc>
          <w:tcPr>
            <w:tcW w:w="768" w:type="dxa"/>
            <w:shd w:val="clear" w:color="auto" w:fill="F2DCDC" w:themeFill="accent2" w:themeFillTint="32"/>
            <w:vAlign w:val="center"/>
          </w:tcPr>
          <w:p>
            <w:pPr>
              <w:rPr>
                <w:color w:val="auto"/>
                <w:lang w:eastAsia="ja-JP"/>
              </w:rPr>
            </w:pPr>
            <w:r>
              <w:rPr>
                <w:rFonts w:hint="eastAsia"/>
                <w:color w:val="auto"/>
                <w:lang w:val="en-US" w:eastAsia="zh-CN"/>
              </w:rPr>
              <w:t>1</w:t>
            </w:r>
          </w:p>
        </w:tc>
        <w:tc>
          <w:tcPr>
            <w:tcW w:w="769" w:type="dxa"/>
            <w:shd w:val="clear" w:color="auto" w:fill="F2DCDC" w:themeFill="accent2" w:themeFillTint="32"/>
            <w:vAlign w:val="center"/>
          </w:tcPr>
          <w:p>
            <w:pPr>
              <w:rPr>
                <w:color w:val="auto"/>
                <w:lang w:eastAsia="ja-JP"/>
              </w:rPr>
            </w:pPr>
            <w:r>
              <w:rPr>
                <w:rFonts w:hint="eastAsia"/>
                <w:color w:val="auto"/>
                <w:lang w:val="en-US" w:eastAsia="zh-CN"/>
              </w:rPr>
              <w:t>1</w:t>
            </w:r>
          </w:p>
        </w:tc>
        <w:tc>
          <w:tcPr>
            <w:tcW w:w="768" w:type="dxa"/>
            <w:shd w:val="clear" w:color="auto" w:fill="F2DCDC" w:themeFill="accent2" w:themeFillTint="32"/>
            <w:vAlign w:val="center"/>
          </w:tcPr>
          <w:p>
            <w:pPr>
              <w:rPr>
                <w:color w:val="auto"/>
                <w:lang w:eastAsia="ja-JP"/>
              </w:rPr>
            </w:pPr>
            <w:r>
              <w:rPr>
                <w:rFonts w:hint="eastAsia"/>
                <w:color w:val="auto"/>
                <w:lang w:val="en-US" w:eastAsia="zh-CN"/>
              </w:rPr>
              <w:t>1</w:t>
            </w:r>
          </w:p>
        </w:tc>
        <w:tc>
          <w:tcPr>
            <w:tcW w:w="768" w:type="dxa"/>
            <w:shd w:val="clear" w:color="auto" w:fill="F2DCDC" w:themeFill="accent2" w:themeFillTint="32"/>
            <w:vAlign w:val="center"/>
          </w:tcPr>
          <w:p>
            <w:pPr>
              <w:rPr>
                <w:color w:val="auto"/>
                <w:lang w:eastAsia="ja-JP"/>
              </w:rPr>
            </w:pPr>
            <w:r>
              <w:rPr>
                <w:rFonts w:hint="eastAsia"/>
                <w:color w:val="auto"/>
                <w:lang w:val="en-US" w:eastAsia="zh-CN"/>
              </w:rPr>
              <w:t>1</w:t>
            </w:r>
          </w:p>
        </w:tc>
        <w:tc>
          <w:tcPr>
            <w:tcW w:w="769" w:type="dxa"/>
            <w:shd w:val="clear" w:color="auto" w:fill="F2DCDC" w:themeFill="accent2" w:themeFillTint="32"/>
            <w:vAlign w:val="center"/>
          </w:tcPr>
          <w:p>
            <w:pPr>
              <w:rPr>
                <w:color w:val="auto"/>
                <w:lang w:eastAsia="ja-JP"/>
              </w:rPr>
            </w:pPr>
            <w:r>
              <w:rPr>
                <w:rFonts w:hint="eastAsia"/>
                <w:color w:val="auto"/>
                <w:lang w:val="en-US" w:eastAsia="zh-CN"/>
              </w:rPr>
              <w:t>1</w:t>
            </w:r>
          </w:p>
        </w:tc>
        <w:tc>
          <w:tcPr>
            <w:tcW w:w="768" w:type="dxa"/>
            <w:shd w:val="clear" w:color="auto" w:fill="F2DCDC" w:themeFill="accent2" w:themeFillTint="32"/>
            <w:vAlign w:val="center"/>
          </w:tcPr>
          <w:p>
            <w:pPr>
              <w:rPr>
                <w:color w:val="auto"/>
                <w:lang w:eastAsia="ja-JP"/>
              </w:rPr>
            </w:pPr>
            <w:r>
              <w:rPr>
                <w:rFonts w:hint="eastAsia"/>
                <w:color w:val="auto"/>
                <w:lang w:val="en-US" w:eastAsia="zh-CN"/>
              </w:rPr>
              <w:t>1</w:t>
            </w:r>
          </w:p>
        </w:tc>
        <w:tc>
          <w:tcPr>
            <w:tcW w:w="768" w:type="dxa"/>
            <w:shd w:val="clear" w:color="auto" w:fill="F2DCDC" w:themeFill="accent2" w:themeFillTint="32"/>
            <w:vAlign w:val="center"/>
          </w:tcPr>
          <w:p>
            <w:pPr>
              <w:rPr>
                <w:color w:val="auto"/>
                <w:lang w:eastAsia="ja-JP"/>
              </w:rPr>
            </w:pPr>
            <w:r>
              <w:rPr>
                <w:rFonts w:hint="eastAsia"/>
                <w:color w:val="auto"/>
                <w:lang w:val="en-US" w:eastAsia="zh-CN"/>
              </w:rPr>
              <w:t>1</w:t>
            </w:r>
          </w:p>
        </w:tc>
        <w:tc>
          <w:tcPr>
            <w:tcW w:w="769" w:type="dxa"/>
            <w:shd w:val="clear" w:color="auto" w:fill="F2DCDC" w:themeFill="accent2" w:themeFillTint="32"/>
            <w:vAlign w:val="center"/>
          </w:tcPr>
          <w:p>
            <w:pPr>
              <w:rPr>
                <w:color w:val="FF0000"/>
                <w:lang w:eastAsia="ja-JP"/>
              </w:rPr>
            </w:pPr>
            <w:r>
              <w:rPr>
                <w:rFonts w:hint="eastAsia"/>
                <w:color w:val="FF000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9"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9" w:type="dxa"/>
            <w:tcBorders>
              <w:bottom w:val="single" w:color="auto" w:sz="4" w:space="0"/>
            </w:tcBorders>
            <w:shd w:val="clear" w:color="auto" w:fill="F2DCDC" w:themeFill="accent2" w:themeFillTint="32"/>
            <w:vAlign w:val="center"/>
          </w:tcPr>
          <w:p>
            <w:pPr>
              <w:rPr>
                <w:color w:val="auto"/>
                <w:lang w:eastAsia="ja-JP"/>
              </w:rPr>
            </w:pPr>
          </w:p>
        </w:tc>
        <w:tc>
          <w:tcPr>
            <w:tcW w:w="768" w:type="dxa"/>
            <w:tcBorders>
              <w:bottom w:val="single" w:color="auto" w:sz="4" w:space="0"/>
            </w:tcBorders>
            <w:shd w:val="clear" w:color="auto" w:fill="F2DCDC" w:themeFill="accent2" w:themeFillTint="32"/>
            <w:vAlign w:val="center"/>
          </w:tcPr>
          <w:p>
            <w:pPr>
              <w:rPr>
                <w:color w:val="auto"/>
                <w:lang w:eastAsia="ja-JP"/>
              </w:rPr>
            </w:pPr>
          </w:p>
        </w:tc>
        <w:tc>
          <w:tcPr>
            <w:tcW w:w="768" w:type="dxa"/>
            <w:tcBorders>
              <w:bottom w:val="single" w:color="auto" w:sz="4" w:space="0"/>
            </w:tcBorders>
            <w:shd w:val="clear" w:color="auto" w:fill="F2DCDC" w:themeFill="accent2" w:themeFillTint="32"/>
            <w:vAlign w:val="center"/>
          </w:tcPr>
          <w:p>
            <w:pPr>
              <w:rPr>
                <w:color w:val="auto"/>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color w:val="auto"/>
                <w:lang w:eastAsia="ja-JP"/>
              </w:rPr>
            </w:pPr>
            <w:r>
              <w:rPr>
                <w:rFonts w:hint="eastAsia"/>
                <w:color w:val="auto"/>
              </w:rPr>
              <w:t>10.1</w:t>
            </w:r>
          </w:p>
        </w:tc>
        <w:tc>
          <w:tcPr>
            <w:tcW w:w="768" w:type="dxa"/>
            <w:shd w:val="clear" w:color="auto" w:fill="F2DCDC" w:themeFill="accent2" w:themeFillTint="32"/>
            <w:vAlign w:val="center"/>
          </w:tcPr>
          <w:p>
            <w:pPr>
              <w:rPr>
                <w:color w:val="auto"/>
                <w:lang w:eastAsia="ja-JP"/>
              </w:rPr>
            </w:pPr>
            <w:r>
              <w:rPr>
                <w:rFonts w:hint="eastAsia"/>
                <w:color w:val="auto"/>
              </w:rPr>
              <w:t>10.2</w:t>
            </w:r>
          </w:p>
        </w:tc>
        <w:tc>
          <w:tcPr>
            <w:tcW w:w="768" w:type="dxa"/>
            <w:shd w:val="clear" w:color="auto" w:fill="F2DCDC" w:themeFill="accent2" w:themeFillTint="32"/>
            <w:vAlign w:val="center"/>
          </w:tcPr>
          <w:p>
            <w:pPr>
              <w:rPr>
                <w:color w:val="auto"/>
                <w:lang w:eastAsia="ja-JP"/>
              </w:rPr>
            </w:pPr>
            <w:r>
              <w:rPr>
                <w:rFonts w:hint="eastAsia"/>
                <w:color w:val="auto"/>
              </w:rPr>
              <w:t>10.3</w:t>
            </w:r>
          </w:p>
        </w:tc>
        <w:tc>
          <w:tcPr>
            <w:tcW w:w="769"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9"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color w:val="auto"/>
                <w:lang w:eastAsia="ja-JP"/>
              </w:rPr>
            </w:pPr>
            <w:r>
              <w:rPr>
                <w:rFonts w:hint="eastAsia"/>
                <w:color w:val="auto"/>
                <w:lang w:val="en-US" w:eastAsia="zh-CN"/>
              </w:rPr>
              <w:t>1</w:t>
            </w:r>
          </w:p>
        </w:tc>
        <w:tc>
          <w:tcPr>
            <w:tcW w:w="768" w:type="dxa"/>
            <w:shd w:val="clear" w:color="auto" w:fill="F2DCDC" w:themeFill="accent2" w:themeFillTint="32"/>
            <w:vAlign w:val="center"/>
          </w:tcPr>
          <w:p>
            <w:pPr>
              <w:rPr>
                <w:color w:val="auto"/>
                <w:lang w:eastAsia="ja-JP"/>
              </w:rPr>
            </w:pPr>
            <w:r>
              <w:rPr>
                <w:rFonts w:hint="eastAsia"/>
                <w:color w:val="auto"/>
                <w:lang w:val="en-US" w:eastAsia="zh-CN"/>
              </w:rPr>
              <w:t>1</w:t>
            </w:r>
          </w:p>
        </w:tc>
        <w:tc>
          <w:tcPr>
            <w:tcW w:w="768" w:type="dxa"/>
            <w:shd w:val="clear" w:color="auto" w:fill="F2DCDC" w:themeFill="accent2" w:themeFillTint="32"/>
            <w:vAlign w:val="center"/>
          </w:tcPr>
          <w:p>
            <w:pPr>
              <w:rPr>
                <w:color w:val="auto"/>
                <w:lang w:eastAsia="ja-JP"/>
              </w:rPr>
            </w:pPr>
            <w:r>
              <w:rPr>
                <w:rFonts w:hint="eastAsia"/>
                <w:color w:val="auto"/>
                <w:lang w:val="en-US" w:eastAsia="zh-CN"/>
              </w:rPr>
              <w:t>1</w:t>
            </w:r>
          </w:p>
        </w:tc>
        <w:tc>
          <w:tcPr>
            <w:tcW w:w="769"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9"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9" w:type="dxa"/>
            <w:shd w:val="clear" w:color="auto" w:fill="F2DCDC" w:themeFill="accent2" w:themeFillTint="32"/>
            <w:vAlign w:val="center"/>
          </w:tcPr>
          <w:p>
            <w:pPr>
              <w:rPr>
                <w:lang w:eastAsia="ja-JP"/>
              </w:rPr>
            </w:pPr>
          </w:p>
        </w:tc>
      </w:tr>
      <w:bookmarkEnd w:id="3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6"/>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c4ZWJiZGY2YjU2MmRhNjg4NDA1NWJhMzhhZTVmYzcifQ=="/>
  </w:docVars>
  <w:rsids>
    <w:rsidRoot w:val="00000000"/>
    <w:rsid w:val="59950568"/>
    <w:rsid w:val="6360689C"/>
    <w:rsid w:val="643635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3">
    <w:name w:val="Body Text Indent"/>
    <w:basedOn w:val="1"/>
    <w:qFormat/>
    <w:uiPriority w:val="0"/>
    <w:pPr>
      <w:ind w:left="360"/>
    </w:pPr>
    <w:rPr>
      <w:sz w:val="20"/>
    </w:r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customStyle="1" w:styleId="13">
    <w:name w:val="表格文字"/>
    <w:basedOn w:val="1"/>
    <w:qFormat/>
    <w:uiPriority w:val="0"/>
    <w:pPr>
      <w:spacing w:before="25" w:after="25"/>
    </w:pPr>
    <w:rPr>
      <w:bCs/>
      <w:spacing w:val="10"/>
    </w:rPr>
  </w:style>
  <w:style w:type="paragraph" w:styleId="14">
    <w:name w:val="List Paragraph"/>
    <w:basedOn w:val="1"/>
    <w:qFormat/>
    <w:uiPriority w:val="34"/>
    <w:pPr>
      <w:ind w:firstLine="420" w:firstLineChars="200"/>
    </w:pPr>
  </w:style>
  <w:style w:type="character" w:customStyle="1" w:styleId="15">
    <w:name w:val="页眉 Char1"/>
    <w:basedOn w:val="11"/>
    <w:link w:val="6"/>
    <w:qFormat/>
    <w:uiPriority w:val="99"/>
    <w:rPr>
      <w:rFonts w:ascii="Times New Roman" w:hAnsi="Times New Roman" w:eastAsia="宋体" w:cs="Times New Roman"/>
      <w:sz w:val="18"/>
      <w:szCs w:val="18"/>
    </w:rPr>
  </w:style>
  <w:style w:type="character" w:customStyle="1" w:styleId="16">
    <w:name w:val="页脚 Char"/>
    <w:basedOn w:val="11"/>
    <w:link w:val="5"/>
    <w:qFormat/>
    <w:uiPriority w:val="99"/>
    <w:rPr>
      <w:rFonts w:ascii="Times New Roman" w:hAnsi="Times New Roman" w:eastAsia="宋体" w:cs="Times New Roman"/>
      <w:sz w:val="18"/>
      <w:szCs w:val="18"/>
    </w:rPr>
  </w:style>
  <w:style w:type="character" w:customStyle="1" w:styleId="17">
    <w:name w:val="批注框文本 Char"/>
    <w:basedOn w:val="11"/>
    <w:link w:val="4"/>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26</Pages>
  <Words>19069</Words>
  <Characters>20195</Characters>
  <Lines>150</Lines>
  <Paragraphs>42</Paragraphs>
  <TotalTime>2</TotalTime>
  <ScaleCrop>false</ScaleCrop>
  <LinksUpToDate>false</LinksUpToDate>
  <CharactersWithSpaces>20316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春华秋实</cp:lastModifiedBy>
  <cp:lastPrinted>2019-05-13T03:19:00Z</cp:lastPrinted>
  <dcterms:modified xsi:type="dcterms:W3CDTF">2022-05-14T10:53:14Z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2052-11.1.0.11636</vt:lpwstr>
  </property>
</Properties>
</file>