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drawing>
          <wp:anchor distT="0" distB="0" distL="114300" distR="114300" simplePos="0" relativeHeight="251659264" behindDoc="0" locked="0" layoutInCell="1" allowOverlap="1">
            <wp:simplePos x="0" y="0"/>
            <wp:positionH relativeFrom="column">
              <wp:posOffset>1898650</wp:posOffset>
            </wp:positionH>
            <wp:positionV relativeFrom="paragraph">
              <wp:posOffset>17780</wp:posOffset>
            </wp:positionV>
            <wp:extent cx="1590675" cy="1590675"/>
            <wp:effectExtent l="0" t="0" r="9525" b="9525"/>
            <wp:wrapNone/>
            <wp:docPr id="5" name="图片 3"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新LOGO"/>
                    <pic:cNvPicPr>
                      <a:picLocks noChangeAspect="1"/>
                    </pic:cNvPicPr>
                  </pic:nvPicPr>
                  <pic:blipFill>
                    <a:blip r:embed="rId5"/>
                    <a:stretch>
                      <a:fillRect/>
                    </a:stretch>
                  </pic:blipFill>
                  <pic:spPr>
                    <a:xfrm>
                      <a:off x="0" y="0"/>
                      <a:ext cx="1590675" cy="1590675"/>
                    </a:xfrm>
                    <a:prstGeom prst="rect">
                      <a:avLst/>
                    </a:prstGeom>
                    <a:noFill/>
                    <a:ln>
                      <a:noFill/>
                    </a:ln>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ind w:firstLine="960" w:firstLineChars="300"/>
        <w:jc w:val="left"/>
        <w:rPr>
          <w:rFonts w:hint="eastAsia" w:ascii="宋体" w:hAnsi="宋体" w:eastAsiaTheme="minorEastAsia"/>
          <w:b w:val="0"/>
          <w:bCs w:val="0"/>
          <w:sz w:val="24"/>
          <w:szCs w:val="24"/>
          <w:u w:val="single"/>
          <w:lang w:eastAsia="zh-CN"/>
        </w:rPr>
      </w:pPr>
      <w:r>
        <w:rPr>
          <w:rFonts w:hint="eastAsia" w:ascii="宋体" w:hAnsi="宋体"/>
          <w:sz w:val="32"/>
        </w:rPr>
        <w:t>认 证 企 业</w:t>
      </w:r>
      <w:r>
        <w:rPr>
          <w:rFonts w:hint="eastAsia" w:ascii="MS PGothic" w:hAnsi="MS PGothic"/>
          <w:sz w:val="32"/>
        </w:rPr>
        <w:t>：</w:t>
      </w:r>
      <w:r>
        <w:rPr>
          <w:rFonts w:hint="eastAsia" w:ascii="宋体" w:hAnsi="宋体"/>
          <w:b w:val="0"/>
          <w:bCs w:val="0"/>
          <w:sz w:val="24"/>
          <w:szCs w:val="24"/>
          <w:u w:val="single"/>
          <w:lang w:eastAsia="zh-CN"/>
        </w:rPr>
        <w:t>沈阳市中兴防爆电器总厂有限公司</w:t>
      </w:r>
    </w:p>
    <w:p>
      <w:pPr>
        <w:spacing w:line="360" w:lineRule="auto"/>
        <w:ind w:firstLine="960" w:firstLineChars="200"/>
        <w:jc w:val="left"/>
        <w:rPr>
          <w:rFonts w:hint="eastAsia" w:ascii="宋体" w:hAnsi="宋体" w:eastAsiaTheme="minorEastAsia"/>
          <w:spacing w:val="32"/>
          <w:sz w:val="32"/>
          <w:u w:val="single"/>
          <w:lang w:val="en-US" w:eastAsia="zh-CN"/>
        </w:rPr>
      </w:pPr>
      <w:r>
        <w:rPr>
          <w:rFonts w:hint="eastAsia" w:ascii="宋体" w:hAnsi="宋体"/>
          <w:spacing w:val="80"/>
          <w:sz w:val="32"/>
        </w:rPr>
        <w:t>编   号</w:t>
      </w:r>
      <w:r>
        <w:rPr>
          <w:rFonts w:hint="eastAsia" w:ascii="宋体" w:hAnsi="宋体"/>
          <w:sz w:val="32"/>
        </w:rPr>
        <w:t>：</w:t>
      </w:r>
      <w:bookmarkStart w:id="1" w:name="合同编号"/>
      <w:r>
        <w:rPr>
          <w:rFonts w:hint="eastAsia" w:ascii="宋体" w:hAnsi="宋体"/>
          <w:sz w:val="32"/>
          <w:u w:val="single"/>
          <w:lang w:val="en-US" w:eastAsia="zh-CN"/>
        </w:rPr>
        <w:t>0019</w:t>
      </w:r>
      <w:r>
        <w:rPr>
          <w:rFonts w:hint="eastAsia" w:ascii="宋体" w:hAnsi="宋体"/>
          <w:sz w:val="32"/>
          <w:u w:val="single"/>
        </w:rPr>
        <w:t>-2</w:t>
      </w:r>
      <w:r>
        <w:rPr>
          <w:rFonts w:hint="eastAsia" w:ascii="宋体" w:hAnsi="宋体"/>
          <w:sz w:val="32"/>
          <w:u w:val="single"/>
          <w:lang w:val="en-US" w:eastAsia="zh-CN"/>
        </w:rPr>
        <w:t>018</w:t>
      </w:r>
      <w:r>
        <w:rPr>
          <w:rFonts w:hint="eastAsia" w:ascii="宋体" w:hAnsi="宋体"/>
          <w:sz w:val="32"/>
          <w:u w:val="single"/>
        </w:rPr>
        <w:t>-202</w:t>
      </w:r>
      <w:bookmarkEnd w:id="1"/>
      <w:r>
        <w:rPr>
          <w:rFonts w:hint="eastAsia" w:ascii="宋体" w:hAnsi="宋体"/>
          <w:sz w:val="32"/>
          <w:u w:val="single"/>
          <w:lang w:val="en-US" w:eastAsia="zh-CN"/>
        </w:rPr>
        <w:t>2</w:t>
      </w:r>
    </w:p>
    <w:p>
      <w:pPr>
        <w:spacing w:line="360" w:lineRule="auto"/>
        <w:ind w:firstLine="960" w:firstLineChars="200"/>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hint="eastAsia" w:ascii="Times New Roman" w:hAnsi="Times New Roman" w:eastAsia="宋体" w:cs="Times New Roman"/>
          <w:bCs/>
          <w:kern w:val="0"/>
          <w:sz w:val="18"/>
          <w:szCs w:val="18"/>
          <w:lang w:val="en-US" w:eastAsia="zh-CN"/>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019</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18</w:t>
      </w:r>
      <w:r>
        <w:rPr>
          <w:rFonts w:ascii="Times New Roman" w:hAnsi="Times New Roman" w:eastAsia="宋体" w:cs="Times New Roman"/>
          <w:bCs/>
          <w:kern w:val="0"/>
          <w:sz w:val="18"/>
          <w:szCs w:val="18"/>
          <w:u w:val="single"/>
        </w:rPr>
        <w:t>-202</w:t>
      </w:r>
      <w:bookmarkEnd w:id="2"/>
      <w:r>
        <w:rPr>
          <w:rFonts w:hint="eastAsia" w:ascii="Times New Roman" w:hAnsi="Times New Roman" w:eastAsia="宋体" w:cs="Times New Roman"/>
          <w:bCs/>
          <w:kern w:val="0"/>
          <w:sz w:val="18"/>
          <w:szCs w:val="18"/>
          <w:u w:val="single"/>
          <w:lang w:val="en-US" w:eastAsia="zh-CN"/>
        </w:rPr>
        <w:t>2</w:t>
      </w:r>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3362"/>
        <w:gridCol w:w="1623"/>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9"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bCs/>
                <w:kern w:val="0"/>
                <w:sz w:val="21"/>
                <w:szCs w:val="21"/>
              </w:rPr>
              <w:t>企业</w:t>
            </w:r>
            <w:r>
              <w:rPr>
                <w:rFonts w:cs="宋体" w:asciiTheme="minorEastAsia" w:hAnsiTheme="minorEastAsia"/>
                <w:kern w:val="0"/>
                <w:sz w:val="21"/>
                <w:szCs w:val="21"/>
              </w:rPr>
              <w:t>名称</w:t>
            </w:r>
          </w:p>
        </w:tc>
        <w:tc>
          <w:tcPr>
            <w:tcW w:w="3362" w:type="dxa"/>
            <w:vAlign w:val="center"/>
          </w:tcPr>
          <w:p>
            <w:pPr>
              <w:tabs>
                <w:tab w:val="left" w:pos="880"/>
              </w:tabs>
              <w:autoSpaceDE w:val="0"/>
              <w:autoSpaceDN w:val="0"/>
              <w:adjustRightInd w:val="0"/>
              <w:spacing w:before="35" w:line="360" w:lineRule="exact"/>
              <w:ind w:right="161"/>
              <w:rPr>
                <w:rFonts w:hint="eastAsia" w:cs="宋体" w:asciiTheme="minorEastAsia" w:hAnsiTheme="minorEastAsia" w:eastAsiaTheme="minorEastAsia"/>
                <w:kern w:val="0"/>
                <w:sz w:val="21"/>
                <w:szCs w:val="21"/>
                <w:lang w:eastAsia="zh-CN"/>
              </w:rPr>
            </w:pPr>
            <w:r>
              <w:rPr>
                <w:rFonts w:hint="eastAsia" w:ascii="Times New Roman" w:hAnsi="Times New Roman" w:eastAsia="宋体" w:cs="Times New Roman"/>
                <w:color w:val="000000"/>
                <w:sz w:val="21"/>
                <w:szCs w:val="21"/>
                <w:lang w:eastAsia="zh-CN"/>
              </w:rPr>
              <w:t>沈阳市中兴防爆电器总厂有限公司</w:t>
            </w:r>
          </w:p>
        </w:tc>
        <w:tc>
          <w:tcPr>
            <w:tcW w:w="1623"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企业联系人</w:t>
            </w:r>
          </w:p>
        </w:tc>
        <w:tc>
          <w:tcPr>
            <w:tcW w:w="2561" w:type="dxa"/>
            <w:vAlign w:val="center"/>
          </w:tcPr>
          <w:p>
            <w:pPr>
              <w:tabs>
                <w:tab w:val="left" w:pos="880"/>
              </w:tabs>
              <w:autoSpaceDE w:val="0"/>
              <w:autoSpaceDN w:val="0"/>
              <w:adjustRightInd w:val="0"/>
              <w:spacing w:before="35" w:line="360" w:lineRule="exact"/>
              <w:ind w:right="161"/>
              <w:jc w:val="both"/>
              <w:rPr>
                <w:rFonts w:hint="eastAsia" w:cs="宋体" w:asciiTheme="minorEastAsia" w:hAnsiTheme="minorEastAsia" w:eastAsiaTheme="minorEastAsia"/>
                <w:kern w:val="0"/>
                <w:sz w:val="21"/>
                <w:szCs w:val="21"/>
                <w:lang w:val="en-US" w:eastAsia="zh-CN"/>
              </w:rPr>
            </w:pPr>
            <w:r>
              <w:rPr>
                <w:rFonts w:hint="eastAsia" w:cs="宋体" w:asciiTheme="minorEastAsia" w:hAnsiTheme="minorEastAsia"/>
                <w:kern w:val="0"/>
                <w:szCs w:val="21"/>
                <w:lang w:eastAsia="zh-CN"/>
              </w:rPr>
              <w:t>李欣欣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89"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 w:val="21"/>
                <w:szCs w:val="21"/>
              </w:rPr>
            </w:pPr>
            <w:r>
              <w:rPr>
                <w:rFonts w:hint="eastAsia" w:cs="宋体" w:asciiTheme="minorEastAsia" w:hAnsiTheme="minorEastAsia"/>
                <w:kern w:val="0"/>
                <w:szCs w:val="21"/>
              </w:rPr>
              <w:t>认证证书编号</w:t>
            </w:r>
          </w:p>
        </w:tc>
        <w:tc>
          <w:tcPr>
            <w:tcW w:w="3362" w:type="dxa"/>
            <w:vAlign w:val="top"/>
          </w:tcPr>
          <w:p>
            <w:pPr>
              <w:tabs>
                <w:tab w:val="left" w:pos="880"/>
              </w:tabs>
              <w:autoSpaceDE w:val="0"/>
              <w:autoSpaceDN w:val="0"/>
              <w:adjustRightInd w:val="0"/>
              <w:spacing w:before="35" w:line="276" w:lineRule="auto"/>
              <w:ind w:right="161" w:rightChars="0"/>
              <w:rPr>
                <w:rFonts w:hint="default" w:asciiTheme="minorEastAsia" w:hAnsiTheme="minorEastAsia" w:eastAsiaTheme="minorEastAsia"/>
                <w:sz w:val="21"/>
                <w:szCs w:val="21"/>
                <w:highlight w:val="none"/>
                <w:lang w:val="en-US" w:eastAsia="zh-CN"/>
              </w:rPr>
            </w:pPr>
            <w:r>
              <w:rPr>
                <w:rFonts w:cs="宋体" w:asciiTheme="minorEastAsia" w:hAnsiTheme="minorEastAsia"/>
                <w:kern w:val="0"/>
                <w:szCs w:val="21"/>
              </w:rPr>
              <w:t>ISC-201</w:t>
            </w:r>
            <w:r>
              <w:rPr>
                <w:rFonts w:hint="eastAsia" w:cs="宋体" w:asciiTheme="minorEastAsia" w:hAnsiTheme="minorEastAsia"/>
                <w:kern w:val="0"/>
                <w:szCs w:val="21"/>
                <w:lang w:val="en-US" w:eastAsia="zh-CN"/>
              </w:rPr>
              <w:t>8</w:t>
            </w:r>
            <w:r>
              <w:rPr>
                <w:rFonts w:cs="宋体" w:asciiTheme="minorEastAsia" w:hAnsiTheme="minorEastAsia"/>
                <w:kern w:val="0"/>
                <w:szCs w:val="21"/>
              </w:rPr>
              <w:t>-0</w:t>
            </w:r>
            <w:r>
              <w:rPr>
                <w:rFonts w:hint="eastAsia" w:cs="宋体" w:asciiTheme="minorEastAsia" w:hAnsiTheme="minorEastAsia"/>
                <w:kern w:val="0"/>
                <w:szCs w:val="21"/>
                <w:lang w:val="en-US" w:eastAsia="zh-CN"/>
              </w:rPr>
              <w:t>229</w:t>
            </w:r>
          </w:p>
        </w:tc>
        <w:tc>
          <w:tcPr>
            <w:tcW w:w="1623"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 w:val="21"/>
                <w:szCs w:val="21"/>
                <w:highlight w:val="none"/>
              </w:rPr>
            </w:pPr>
            <w:r>
              <w:rPr>
                <w:rFonts w:hint="eastAsia" w:cs="宋体" w:asciiTheme="minorEastAsia" w:hAnsiTheme="minorEastAsia"/>
                <w:kern w:val="0"/>
                <w:szCs w:val="21"/>
              </w:rPr>
              <w:t>证书有效期</w:t>
            </w:r>
          </w:p>
        </w:tc>
        <w:tc>
          <w:tcPr>
            <w:tcW w:w="2561" w:type="dxa"/>
            <w:vAlign w:val="top"/>
          </w:tcPr>
          <w:p>
            <w:pPr>
              <w:tabs>
                <w:tab w:val="left" w:pos="880"/>
              </w:tabs>
              <w:autoSpaceDE w:val="0"/>
              <w:autoSpaceDN w:val="0"/>
              <w:adjustRightInd w:val="0"/>
              <w:spacing w:before="35" w:line="360" w:lineRule="auto"/>
              <w:ind w:right="161" w:rightChars="0"/>
              <w:rPr>
                <w:rFonts w:hint="default" w:cs="宋体" w:asciiTheme="minorEastAsia" w:hAnsiTheme="minorEastAsia"/>
                <w:kern w:val="0"/>
                <w:sz w:val="21"/>
                <w:szCs w:val="21"/>
                <w:highlight w:val="red"/>
                <w:lang w:val="en-US"/>
              </w:rPr>
            </w:pPr>
            <w:r>
              <w:rPr>
                <w:rFonts w:cs="宋体" w:asciiTheme="minorEastAsia" w:hAnsiTheme="minorEastAsia"/>
                <w:kern w:val="0"/>
                <w:szCs w:val="21"/>
              </w:rPr>
              <w:t>202</w:t>
            </w:r>
            <w:r>
              <w:rPr>
                <w:rFonts w:hint="eastAsia" w:cs="宋体" w:asciiTheme="minorEastAsia" w:hAnsiTheme="minorEastAsia"/>
                <w:kern w:val="0"/>
                <w:szCs w:val="21"/>
                <w:lang w:val="en-US" w:eastAsia="zh-CN"/>
              </w:rPr>
              <w:t>3</w:t>
            </w:r>
            <w:r>
              <w:rPr>
                <w:rFonts w:cs="宋体" w:asciiTheme="minorEastAsia" w:hAnsiTheme="minorEastAsia"/>
                <w:kern w:val="0"/>
                <w:szCs w:val="21"/>
              </w:rPr>
              <w:t>-0</w:t>
            </w:r>
            <w:r>
              <w:rPr>
                <w:rFonts w:hint="eastAsia" w:cs="宋体" w:asciiTheme="minorEastAsia" w:hAnsiTheme="minorEastAsia"/>
                <w:kern w:val="0"/>
                <w:szCs w:val="21"/>
                <w:lang w:val="en-US" w:eastAsia="zh-CN"/>
              </w:rPr>
              <w:t>3</w:t>
            </w:r>
            <w:r>
              <w:rPr>
                <w:rFonts w:cs="宋体" w:asciiTheme="minorEastAsia" w:hAnsiTheme="minorEastAsia"/>
                <w:kern w:val="0"/>
                <w:szCs w:val="21"/>
              </w:rPr>
              <w:t>-</w:t>
            </w:r>
            <w:r>
              <w:rPr>
                <w:rFonts w:hint="eastAsia" w:cs="宋体" w:asciiTheme="minorEastAsia" w:hAnsiTheme="minorEastAsia"/>
                <w:kern w:val="0"/>
                <w:szCs w:val="21"/>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9"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监督审核次数</w:t>
            </w:r>
          </w:p>
        </w:tc>
        <w:tc>
          <w:tcPr>
            <w:tcW w:w="3362" w:type="dxa"/>
            <w:vAlign w:val="center"/>
          </w:tcPr>
          <w:p>
            <w:pPr>
              <w:spacing w:line="360" w:lineRule="exact"/>
              <w:jc w:val="both"/>
              <w:rPr>
                <w:sz w:val="21"/>
                <w:szCs w:val="21"/>
              </w:rPr>
            </w:pPr>
            <w:r>
              <w:rPr>
                <w:rFonts w:hint="eastAsia"/>
                <w:sz w:val="21"/>
                <w:szCs w:val="21"/>
              </w:rPr>
              <w:t>第</w:t>
            </w:r>
            <w:r>
              <w:rPr>
                <w:rFonts w:hint="eastAsia"/>
                <w:sz w:val="21"/>
                <w:szCs w:val="21"/>
                <w:lang w:val="en-US" w:eastAsia="zh-CN"/>
              </w:rPr>
              <w:t>4</w:t>
            </w:r>
            <w:r>
              <w:rPr>
                <w:rFonts w:hint="eastAsia"/>
                <w:sz w:val="21"/>
                <w:szCs w:val="21"/>
              </w:rPr>
              <w:t>次监督审核</w:t>
            </w:r>
          </w:p>
        </w:tc>
        <w:tc>
          <w:tcPr>
            <w:tcW w:w="1623"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kern w:val="0"/>
                <w:sz w:val="21"/>
                <w:szCs w:val="21"/>
              </w:rPr>
              <w:t>本次监督</w:t>
            </w:r>
          </w:p>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cs="宋体" w:asciiTheme="minorEastAsia" w:hAnsiTheme="minorEastAsia"/>
                <w:color w:val="333333"/>
                <w:kern w:val="0"/>
                <w:sz w:val="21"/>
                <w:szCs w:val="21"/>
              </w:rPr>
              <w:t>时间</w:t>
            </w:r>
          </w:p>
        </w:tc>
        <w:tc>
          <w:tcPr>
            <w:tcW w:w="2561" w:type="dxa"/>
            <w:vAlign w:val="center"/>
          </w:tcPr>
          <w:p>
            <w:pPr>
              <w:tabs>
                <w:tab w:val="left" w:pos="880"/>
              </w:tabs>
              <w:autoSpaceDE w:val="0"/>
              <w:autoSpaceDN w:val="0"/>
              <w:adjustRightInd w:val="0"/>
              <w:spacing w:before="35" w:line="360" w:lineRule="exact"/>
              <w:ind w:right="161"/>
              <w:jc w:val="both"/>
              <w:rPr>
                <w:rFonts w:hint="eastAsia" w:cs="宋体" w:asciiTheme="minorEastAsia" w:hAnsiTheme="minorEastAsia" w:eastAsiaTheme="minorEastAsia"/>
                <w:kern w:val="0"/>
                <w:sz w:val="21"/>
                <w:szCs w:val="21"/>
                <w:lang w:eastAsia="zh-CN"/>
              </w:rPr>
            </w:pPr>
            <w:r>
              <w:rPr>
                <w:rFonts w:hint="eastAsia" w:cs="宋体" w:asciiTheme="minorEastAsia" w:hAnsiTheme="minorEastAsia"/>
                <w:kern w:val="0"/>
                <w:sz w:val="21"/>
                <w:szCs w:val="21"/>
              </w:rPr>
              <w:t>20</w:t>
            </w:r>
            <w:r>
              <w:rPr>
                <w:rFonts w:cs="宋体" w:asciiTheme="minorEastAsia" w:hAnsiTheme="minorEastAsia"/>
                <w:kern w:val="0"/>
                <w:sz w:val="21"/>
                <w:szCs w:val="21"/>
              </w:rPr>
              <w:t>2</w:t>
            </w:r>
            <w:r>
              <w:rPr>
                <w:rFonts w:hint="eastAsia" w:cs="宋体" w:asciiTheme="minorEastAsia" w:hAnsiTheme="minorEastAsia"/>
                <w:kern w:val="0"/>
                <w:sz w:val="21"/>
                <w:szCs w:val="21"/>
                <w:lang w:val="en-US" w:eastAsia="zh-CN"/>
              </w:rPr>
              <w:t>2</w:t>
            </w:r>
            <w:r>
              <w:rPr>
                <w:rFonts w:hint="eastAsia" w:cs="宋体" w:asciiTheme="minorEastAsia" w:hAnsiTheme="minorEastAsia"/>
                <w:kern w:val="0"/>
                <w:sz w:val="21"/>
                <w:szCs w:val="21"/>
              </w:rPr>
              <w:t>年</w:t>
            </w:r>
            <w:r>
              <w:rPr>
                <w:rFonts w:hint="eastAsia" w:cs="宋体" w:asciiTheme="minorEastAsia" w:hAnsiTheme="minorEastAsia"/>
                <w:kern w:val="0"/>
                <w:sz w:val="21"/>
                <w:szCs w:val="21"/>
                <w:lang w:val="en-US" w:eastAsia="zh-CN"/>
              </w:rPr>
              <w:t>02</w:t>
            </w:r>
            <w:r>
              <w:rPr>
                <w:rFonts w:hint="eastAsia" w:cs="宋体" w:asciiTheme="minorEastAsia" w:hAnsiTheme="minorEastAsia"/>
                <w:kern w:val="0"/>
                <w:sz w:val="21"/>
                <w:szCs w:val="21"/>
              </w:rPr>
              <w:t>月</w:t>
            </w:r>
            <w:r>
              <w:rPr>
                <w:rFonts w:hint="eastAsia" w:cs="宋体" w:asciiTheme="minorEastAsia" w:hAnsiTheme="minorEastAsia"/>
                <w:kern w:val="0"/>
                <w:sz w:val="21"/>
                <w:szCs w:val="21"/>
                <w:lang w:val="en-US" w:eastAsia="zh-CN"/>
              </w:rPr>
              <w:t>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89" w:type="dxa"/>
            <w:vAlign w:val="top"/>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rightChars="0" w:firstLine="105" w:firstLineChars="50"/>
              <w:rPr>
                <w:rFonts w:cs="宋体" w:asciiTheme="minorEastAsia" w:hAnsiTheme="minorEastAsia"/>
                <w:kern w:val="0"/>
                <w:sz w:val="21"/>
                <w:szCs w:val="21"/>
              </w:rPr>
            </w:pPr>
            <w:r>
              <w:rPr>
                <w:rFonts w:hint="eastAsia" w:cs="宋体" w:asciiTheme="minorEastAsia" w:hAnsiTheme="minorEastAsia"/>
                <w:kern w:val="0"/>
                <w:szCs w:val="21"/>
              </w:rPr>
              <w:t>姓名及确认号</w:t>
            </w:r>
          </w:p>
        </w:tc>
        <w:tc>
          <w:tcPr>
            <w:tcW w:w="3362" w:type="dxa"/>
            <w:vAlign w:val="center"/>
          </w:tcPr>
          <w:p>
            <w:pPr>
              <w:tabs>
                <w:tab w:val="left" w:pos="880"/>
              </w:tabs>
              <w:autoSpaceDE w:val="0"/>
              <w:autoSpaceDN w:val="0"/>
              <w:adjustRightInd w:val="0"/>
              <w:spacing w:before="35" w:line="276" w:lineRule="auto"/>
              <w:ind w:right="161" w:rightChars="0"/>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tabs>
                <w:tab w:val="left" w:pos="880"/>
              </w:tabs>
              <w:autoSpaceDE w:val="0"/>
              <w:autoSpaceDN w:val="0"/>
              <w:adjustRightInd w:val="0"/>
              <w:spacing w:before="35" w:line="276" w:lineRule="auto"/>
              <w:ind w:right="161" w:rightChars="0"/>
              <w:rPr>
                <w:rFonts w:cs="宋体" w:asciiTheme="minorEastAsia" w:hAnsiTheme="minorEastAsia"/>
                <w:kern w:val="0"/>
                <w:sz w:val="21"/>
                <w:szCs w:val="21"/>
              </w:rPr>
            </w:pPr>
            <w:r>
              <w:rPr>
                <w:rFonts w:hint="eastAsia" w:cs="宋体" w:asciiTheme="minorEastAsia" w:hAnsiTheme="minorEastAsia"/>
                <w:kern w:val="0"/>
                <w:szCs w:val="21"/>
                <w:lang w:eastAsia="zh-CN"/>
              </w:rPr>
              <w:t>武秀云</w:t>
            </w:r>
            <w:r>
              <w:rPr>
                <w:rFonts w:hint="eastAsia" w:cs="宋体" w:asciiTheme="minorEastAsia" w:hAnsiTheme="minorEastAsia"/>
                <w:kern w:val="0"/>
                <w:szCs w:val="21"/>
                <w:lang w:val="en-US" w:eastAsia="zh-CN"/>
              </w:rPr>
              <w:t xml:space="preserve"> </w:t>
            </w:r>
            <w:r>
              <w:rPr>
                <w:rFonts w:cs="宋体" w:asciiTheme="minorEastAsia" w:hAnsiTheme="minorEastAsia"/>
                <w:kern w:val="0"/>
                <w:szCs w:val="21"/>
              </w:rPr>
              <w:t>2020-M1MMS-1274370</w:t>
            </w:r>
          </w:p>
        </w:tc>
        <w:tc>
          <w:tcPr>
            <w:tcW w:w="1623" w:type="dxa"/>
            <w:vAlign w:val="center"/>
          </w:tcPr>
          <w:p>
            <w:pPr>
              <w:spacing w:line="240" w:lineRule="exact"/>
              <w:jc w:val="center"/>
              <w:rPr>
                <w:rFonts w:cs="宋体" w:asciiTheme="minorEastAsia" w:hAnsiTheme="minorEastAsia"/>
                <w:kern w:val="0"/>
                <w:sz w:val="21"/>
                <w:szCs w:val="21"/>
              </w:rPr>
            </w:pPr>
            <w:r>
              <w:rPr>
                <w:rFonts w:cs="宋体" w:asciiTheme="minorEastAsia" w:hAnsiTheme="minorEastAsia"/>
                <w:bCs/>
                <w:kern w:val="0"/>
                <w:szCs w:val="21"/>
              </w:rPr>
              <w:t>监督审核涉及的区域或部门</w:t>
            </w:r>
          </w:p>
        </w:tc>
        <w:tc>
          <w:tcPr>
            <w:tcW w:w="2561" w:type="dxa"/>
            <w:vAlign w:val="top"/>
          </w:tcPr>
          <w:p>
            <w:pPr>
              <w:tabs>
                <w:tab w:val="left" w:pos="880"/>
              </w:tabs>
              <w:autoSpaceDE w:val="0"/>
              <w:autoSpaceDN w:val="0"/>
              <w:adjustRightInd w:val="0"/>
              <w:spacing w:before="35" w:line="360" w:lineRule="auto"/>
              <w:ind w:right="161" w:rightChars="0"/>
              <w:rPr>
                <w:rFonts w:ascii="宋体" w:hAnsi="宋体" w:eastAsia="宋体" w:cs="Times New Roman"/>
                <w:bCs/>
                <w:sz w:val="21"/>
                <w:szCs w:val="21"/>
              </w:rPr>
            </w:pPr>
            <w:r>
              <w:rPr>
                <w:rFonts w:hint="eastAsia" w:ascii="宋体" w:hAnsi="宋体" w:cs="宋体"/>
                <w:bCs/>
                <w:kern w:val="0"/>
                <w:sz w:val="21"/>
                <w:szCs w:val="21"/>
                <w:lang w:eastAsia="zh-CN"/>
              </w:rPr>
              <w:t>质检部、企管部、技术部、</w:t>
            </w:r>
            <w:r>
              <w:rPr>
                <w:rFonts w:hint="eastAsia"/>
              </w:rPr>
              <w:t>生产部</w:t>
            </w:r>
            <w:r>
              <w:rPr>
                <w:rFonts w:hint="eastAsia"/>
                <w:lang w:eastAsia="zh-CN"/>
              </w:rPr>
              <w:t>、销售部、物管部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rPr>
        <w:t>一年内违反法律法规或重大事故的情况：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一年内，公司日常运行中生产、经营、安全、销售及管理方面，比去年都有</w:t>
      </w:r>
      <w:r>
        <w:rPr>
          <w:rFonts w:hint="eastAsia" w:ascii="宋体" w:hAnsi="宋体" w:cs="宋体"/>
          <w:bCs/>
          <w:kern w:val="0"/>
          <w:szCs w:val="21"/>
          <w:lang w:val="en-US" w:eastAsia="zh-CN"/>
        </w:rPr>
        <w:t>很大的</w:t>
      </w:r>
      <w:r>
        <w:rPr>
          <w:rFonts w:hint="eastAsia" w:ascii="宋体" w:hAnsi="宋体" w:cs="宋体"/>
          <w:bCs/>
          <w:kern w:val="0"/>
          <w:szCs w:val="21"/>
        </w:rPr>
        <w:t>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为有效评价公司测量管理体系</w:t>
      </w:r>
      <w:r>
        <w:rPr>
          <w:rFonts w:hint="eastAsia" w:ascii="宋体" w:hAnsi="宋体" w:cs="宋体"/>
          <w:bCs/>
          <w:kern w:val="0"/>
          <w:szCs w:val="21"/>
          <w:lang w:eastAsia="zh-CN"/>
        </w:rPr>
        <w:t>运行监督</w:t>
      </w:r>
      <w:r>
        <w:rPr>
          <w:rFonts w:hint="eastAsia" w:ascii="宋体" w:hAnsi="宋体" w:cs="宋体"/>
          <w:bCs/>
          <w:kern w:val="0"/>
          <w:szCs w:val="21"/>
        </w:rPr>
        <w:t>后一年以来</w:t>
      </w:r>
      <w:r>
        <w:rPr>
          <w:rFonts w:hint="eastAsia" w:ascii="宋体" w:hAnsi="宋体" w:cs="宋体"/>
          <w:bCs/>
          <w:kern w:val="0"/>
          <w:szCs w:val="21"/>
          <w:lang w:val="en-US" w:eastAsia="zh-CN"/>
        </w:rPr>
        <w:t>的</w:t>
      </w:r>
      <w:r>
        <w:rPr>
          <w:rFonts w:hint="eastAsia" w:ascii="宋体" w:hAnsi="宋体" w:cs="宋体"/>
          <w:bCs/>
          <w:kern w:val="0"/>
          <w:szCs w:val="21"/>
        </w:rPr>
        <w:t>运行情况，在</w:t>
      </w:r>
      <w:r>
        <w:rPr>
          <w:rFonts w:hint="eastAsia" w:ascii="宋体" w:hAnsi="宋体"/>
          <w:szCs w:val="21"/>
          <w:lang w:eastAsia="zh-CN"/>
        </w:rPr>
        <w:t>沈阳市中兴防爆电器总厂有限公司</w:t>
      </w:r>
      <w:r>
        <w:rPr>
          <w:rFonts w:hint="eastAsia" w:ascii="宋体" w:hAnsi="宋体" w:cs="宋体"/>
          <w:bCs/>
          <w:kern w:val="0"/>
          <w:szCs w:val="21"/>
        </w:rPr>
        <w:t>现场审核中，审核组抽样检查了涉及公司测量体系内的管理、生产、经营、质量和安全等方面的</w:t>
      </w:r>
      <w:r>
        <w:rPr>
          <w:rFonts w:hint="eastAsia" w:ascii="宋体" w:hAnsi="宋体" w:cs="宋体"/>
          <w:bCs/>
          <w:kern w:val="0"/>
          <w:szCs w:val="21"/>
          <w:lang w:val="en-US" w:eastAsia="zh-CN"/>
        </w:rPr>
        <w:t>6</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4作业区</w:t>
      </w:r>
      <w:r>
        <w:rPr>
          <w:rFonts w:hint="eastAsia" w:ascii="宋体" w:hAnsi="宋体" w:cs="宋体"/>
          <w:bCs/>
          <w:kern w:val="0"/>
          <w:szCs w:val="21"/>
        </w:rPr>
        <w:t>。重点核查环节有：原材料进厂检测、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ind w:firstLine="420" w:firstLineChars="200"/>
        <w:rPr>
          <w:rFonts w:hint="eastAsia" w:ascii="宋体" w:hAnsi="宋体" w:eastAsia="宋体" w:cs="宋体"/>
          <w:bCs/>
          <w:kern w:val="0"/>
          <w:szCs w:val="21"/>
          <w:lang w:eastAsia="zh-CN"/>
        </w:rPr>
      </w:pPr>
      <w:r>
        <w:rPr>
          <w:rFonts w:hint="eastAsia" w:ascii="宋体" w:hAnsi="宋体" w:cs="宋体"/>
          <w:bCs/>
          <w:kern w:val="0"/>
          <w:szCs w:val="21"/>
        </w:rPr>
        <w:t>3.1</w:t>
      </w: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2022</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1月13</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eastAsia="zh-CN"/>
        </w:rPr>
        <w:t>，</w:t>
      </w:r>
      <w:r>
        <w:rPr>
          <w:rFonts w:ascii="Times New Roman" w:hAnsi="Times New Roman" w:cs="Times New Roman"/>
          <w:bCs/>
          <w:kern w:val="0"/>
          <w:szCs w:val="21"/>
          <w:highlight w:val="none"/>
        </w:rPr>
        <w:t>组织了</w:t>
      </w:r>
      <w:r>
        <w:rPr>
          <w:rFonts w:hint="eastAsia" w:ascii="宋体" w:hAnsi="宋体" w:cs="宋体"/>
          <w:bCs/>
          <w:kern w:val="0"/>
          <w:szCs w:val="21"/>
        </w:rPr>
        <w:t>公司的测量</w:t>
      </w:r>
      <w:r>
        <w:rPr>
          <w:rFonts w:hint="eastAsia" w:ascii="宋体" w:hAnsi="宋体" w:cs="宋体"/>
          <w:bCs/>
          <w:kern w:val="0"/>
          <w:szCs w:val="21"/>
          <w:lang w:val="en-US" w:eastAsia="zh-CN"/>
        </w:rPr>
        <w:t>管理</w:t>
      </w:r>
      <w:r>
        <w:rPr>
          <w:rFonts w:hint="eastAsia" w:ascii="宋体" w:hAnsi="宋体" w:cs="宋体"/>
          <w:bCs/>
          <w:kern w:val="0"/>
          <w:szCs w:val="21"/>
        </w:rPr>
        <w:t>体系内审</w:t>
      </w:r>
      <w:r>
        <w:rPr>
          <w:rFonts w:hint="eastAsia" w:ascii="宋体" w:hAnsi="宋体" w:cs="宋体"/>
          <w:bCs/>
          <w:kern w:val="0"/>
          <w:szCs w:val="21"/>
          <w:lang w:eastAsia="zh-CN"/>
        </w:rPr>
        <w:t>。管理者代表代</w:t>
      </w:r>
      <w:r>
        <w:rPr>
          <w:rFonts w:hint="eastAsia" w:ascii="宋体" w:hAnsi="宋体" w:cs="宋体"/>
          <w:bCs/>
          <w:kern w:val="0"/>
          <w:szCs w:val="21"/>
          <w:highlight w:val="none"/>
          <w:lang w:eastAsia="zh-CN"/>
        </w:rPr>
        <w:t>李欣欣任</w:t>
      </w:r>
      <w:bookmarkStart w:id="4" w:name="_GoBack"/>
      <w:bookmarkEnd w:id="4"/>
      <w:r>
        <w:rPr>
          <w:rFonts w:hint="eastAsia" w:ascii="宋体" w:hAnsi="宋体" w:cs="宋体"/>
          <w:bCs/>
          <w:kern w:val="0"/>
          <w:szCs w:val="21"/>
          <w:highlight w:val="none"/>
          <w:lang w:eastAsia="zh-CN"/>
        </w:rPr>
        <w:t>组长组织</w:t>
      </w:r>
      <w:r>
        <w:rPr>
          <w:rFonts w:hint="eastAsia" w:ascii="宋体" w:hAnsi="宋体" w:cs="宋体"/>
          <w:bCs/>
          <w:kern w:val="0"/>
          <w:szCs w:val="21"/>
          <w:highlight w:val="none"/>
        </w:rPr>
        <w:t>审核。</w:t>
      </w:r>
      <w:r>
        <w:rPr>
          <w:rFonts w:hint="eastAsia" w:ascii="宋体" w:hAnsi="宋体" w:cs="宋体"/>
          <w:bCs/>
          <w:kern w:val="0"/>
          <w:szCs w:val="21"/>
          <w:highlight w:val="none"/>
          <w:lang w:val="en-US" w:eastAsia="zh-CN"/>
        </w:rPr>
        <w:t>1个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6</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4个作业区</w:t>
      </w:r>
      <w:r>
        <w:rPr>
          <w:rFonts w:ascii="宋体" w:hAnsi="宋体" w:cs="宋体"/>
          <w:kern w:val="0"/>
          <w:szCs w:val="21"/>
        </w:rPr>
        <w:t>组</w:t>
      </w:r>
      <w:r>
        <w:rPr>
          <w:rFonts w:hint="eastAsia" w:ascii="宋体" w:hAnsi="宋体" w:cs="宋体"/>
          <w:bCs/>
          <w:kern w:val="0"/>
          <w:szCs w:val="21"/>
        </w:rPr>
        <w:t>进行了全要素的审核。内部审核发现</w:t>
      </w:r>
      <w:r>
        <w:rPr>
          <w:rFonts w:hint="eastAsia" w:ascii="宋体" w:hAnsi="宋体" w:cs="宋体"/>
          <w:bCs/>
          <w:kern w:val="0"/>
          <w:szCs w:val="21"/>
          <w:lang w:val="en-US" w:eastAsia="zh-CN"/>
        </w:rPr>
        <w:t>1</w:t>
      </w:r>
      <w:r>
        <w:rPr>
          <w:rFonts w:hint="eastAsia" w:ascii="宋体" w:hAnsi="宋体" w:cs="宋体"/>
          <w:bCs/>
          <w:kern w:val="0"/>
          <w:szCs w:val="21"/>
        </w:rPr>
        <w:t>个不符合项，制定了相关的预防纠正措施，并在规定时间内，完成整改工作，不符合项已关闭。</w:t>
      </w:r>
    </w:p>
    <w:p>
      <w:pPr>
        <w:widowControl/>
        <w:spacing w:line="360" w:lineRule="auto"/>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ascii="宋体" w:cs="宋体"/>
          <w:bCs/>
          <w:kern w:val="0"/>
          <w:szCs w:val="21"/>
        </w:rPr>
      </w:pPr>
      <w:r>
        <w:rPr>
          <w:rFonts w:hint="eastAsia" w:ascii="宋体" w:hAnsi="宋体" w:cs="宋体"/>
          <w:bCs/>
          <w:kern w:val="0"/>
          <w:szCs w:val="21"/>
          <w:highlight w:val="none"/>
        </w:rPr>
        <w:t>公司于20</w:t>
      </w:r>
      <w:r>
        <w:rPr>
          <w:rFonts w:hint="eastAsia" w:ascii="宋体" w:hAnsi="宋体" w:cs="宋体"/>
          <w:bCs/>
          <w:kern w:val="0"/>
          <w:szCs w:val="21"/>
          <w:highlight w:val="none"/>
          <w:lang w:val="en-US" w:eastAsia="zh-CN"/>
        </w:rPr>
        <w:t>22</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1</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19</w:t>
      </w:r>
      <w:r>
        <w:rPr>
          <w:rFonts w:hint="eastAsia" w:ascii="宋体" w:hAnsi="宋体" w:cs="宋体"/>
          <w:bCs/>
          <w:kern w:val="0"/>
          <w:szCs w:val="21"/>
          <w:highlight w:val="none"/>
        </w:rPr>
        <w:t>日，开展了测量体系管理</w:t>
      </w:r>
      <w:r>
        <w:rPr>
          <w:rFonts w:hint="eastAsia" w:ascii="宋体" w:hAnsi="宋体" w:cs="宋体"/>
          <w:bCs/>
          <w:kern w:val="0"/>
          <w:szCs w:val="21"/>
          <w:highlight w:val="none"/>
          <w:lang w:eastAsia="zh-CN"/>
        </w:rPr>
        <w:t>管理</w:t>
      </w:r>
      <w:r>
        <w:rPr>
          <w:rFonts w:hint="eastAsia" w:ascii="宋体" w:hAnsi="宋体" w:cs="宋体"/>
          <w:bCs/>
          <w:kern w:val="0"/>
          <w:szCs w:val="21"/>
          <w:highlight w:val="none"/>
        </w:rPr>
        <w:t>评审，</w:t>
      </w:r>
      <w:r>
        <w:rPr>
          <w:bCs/>
          <w:szCs w:val="21"/>
          <w:highlight w:val="none"/>
        </w:rPr>
        <w:t>会议由企业总经理</w:t>
      </w:r>
      <w:r>
        <w:rPr>
          <w:rFonts w:hint="eastAsia"/>
          <w:bCs/>
          <w:szCs w:val="21"/>
          <w:highlight w:val="none"/>
          <w:lang w:eastAsia="zh-CN"/>
        </w:rPr>
        <w:t>李炎主持，</w:t>
      </w:r>
      <w:r>
        <w:rPr>
          <w:szCs w:val="21"/>
          <w:highlight w:val="none"/>
        </w:rPr>
        <w:t>管理者代表</w:t>
      </w:r>
      <w:r>
        <w:rPr>
          <w:rFonts w:hint="eastAsia"/>
          <w:szCs w:val="21"/>
          <w:highlight w:val="none"/>
          <w:lang w:eastAsia="zh-CN"/>
        </w:rPr>
        <w:t>及</w:t>
      </w:r>
      <w:r>
        <w:rPr>
          <w:szCs w:val="21"/>
          <w:highlight w:val="none"/>
        </w:rPr>
        <w:t>各部门</w:t>
      </w:r>
      <w:r>
        <w:rPr>
          <w:bCs/>
          <w:szCs w:val="21"/>
          <w:highlight w:val="none"/>
        </w:rPr>
        <w:t>汇报了体系运行情况和部门工作完成情况。</w:t>
      </w:r>
      <w:r>
        <w:rPr>
          <w:rFonts w:hint="eastAsia" w:ascii="宋体" w:hAnsi="宋体" w:cs="宋体"/>
          <w:bCs/>
          <w:kern w:val="0"/>
          <w:szCs w:val="21"/>
          <w:highlight w:val="none"/>
        </w:rPr>
        <w:t>会上肯定了公司测量管理体系的充分性、有效性和适宜性。</w:t>
      </w:r>
      <w:r>
        <w:rPr>
          <w:rFonts w:hint="eastAsia" w:ascii="宋体" w:hAnsi="宋体" w:cs="宋体"/>
          <w:bCs/>
          <w:kern w:val="0"/>
          <w:szCs w:val="21"/>
        </w:rPr>
        <w:t>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ascii="宋体" w:cs="宋体"/>
          <w:bCs/>
          <w:kern w:val="0"/>
          <w:szCs w:val="21"/>
        </w:rPr>
      </w:pPr>
      <w:r>
        <w:rPr>
          <w:rFonts w:ascii="宋体" w:hAnsi="宋体" w:cs="宋体"/>
          <w:bCs/>
          <w:kern w:val="0"/>
          <w:szCs w:val="21"/>
        </w:rPr>
        <w:t>4.</w:t>
      </w:r>
      <w:r>
        <w:rPr>
          <w:rFonts w:hint="eastAsia" w:ascii="宋体" w:hAnsi="宋体" w:cs="宋体"/>
          <w:bCs/>
          <w:kern w:val="0"/>
          <w:szCs w:val="21"/>
        </w:rPr>
        <w:t>为持续改进而策划的活动的进展，包括：</w:t>
      </w:r>
    </w:p>
    <w:p>
      <w:pPr>
        <w:widowControl/>
        <w:spacing w:line="360" w:lineRule="auto"/>
        <w:rPr>
          <w:rFonts w:ascii="宋体" w:cs="宋体"/>
          <w:bCs/>
          <w:kern w:val="0"/>
          <w:szCs w:val="21"/>
        </w:rPr>
      </w:pPr>
      <w:r>
        <w:rPr>
          <w:rFonts w:ascii="宋体" w:hAnsi="宋体" w:cs="宋体"/>
          <w:bCs/>
          <w:kern w:val="0"/>
          <w:szCs w:val="21"/>
        </w:rPr>
        <w:t xml:space="preserve">4.1 </w:t>
      </w:r>
      <w:r>
        <w:rPr>
          <w:rFonts w:hint="eastAsia"/>
          <w:szCs w:val="21"/>
        </w:rPr>
        <w:t>该企业主要是</w:t>
      </w:r>
      <w:r>
        <w:rPr>
          <w:rFonts w:hint="eastAsia"/>
          <w:szCs w:val="21"/>
          <w:lang w:eastAsia="zh-CN"/>
        </w:rPr>
        <w:t>：</w:t>
      </w:r>
      <w:r>
        <w:rPr>
          <w:rFonts w:ascii="Times New Roman" w:hAnsi="Times New Roman" w:cs="Times New Roman"/>
          <w:bCs/>
          <w:kern w:val="0"/>
          <w:szCs w:val="21"/>
        </w:rPr>
        <w:t>该企业为</w:t>
      </w:r>
      <w:r>
        <w:rPr>
          <w:rFonts w:hint="eastAsia" w:ascii="Times New Roman" w:hAnsi="Times New Roman" w:cs="Times New Roman"/>
          <w:bCs/>
          <w:kern w:val="0"/>
          <w:szCs w:val="21"/>
          <w:lang w:eastAsia="zh-CN"/>
        </w:rPr>
        <w:t>：</w:t>
      </w:r>
      <w:r>
        <w:rPr>
          <w:color w:val="000000"/>
          <w:szCs w:val="21"/>
        </w:rPr>
        <w:t>许可范围内的防爆电器、防爆灯具、防爆附件的设计、生产及服务等</w:t>
      </w:r>
      <w:r>
        <w:rPr>
          <w:rFonts w:hint="eastAsia" w:ascii="宋体" w:hAnsi="宋体"/>
          <w:szCs w:val="21"/>
          <w:lang w:eastAsia="zh-CN"/>
        </w:rPr>
        <w:t>。</w:t>
      </w:r>
      <w:r>
        <w:rPr>
          <w:rFonts w:hint="eastAsia" w:ascii="宋体" w:hAnsi="宋体" w:cs="宋体"/>
          <w:bCs/>
          <w:kern w:val="0"/>
          <w:sz w:val="21"/>
          <w:szCs w:val="21"/>
          <w:lang w:eastAsia="zh-CN"/>
        </w:rPr>
        <w:t>质检部</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ascii="宋体" w:hAnsi="宋体" w:cs="黑体"/>
          <w:szCs w:val="21"/>
          <w:lang w:val="en-US" w:eastAsia="zh-CN"/>
        </w:rPr>
        <w:t>LBQC开关轴外径尺寸检验</w:t>
      </w:r>
      <w:r>
        <w:rPr>
          <w:rFonts w:hint="eastAsia" w:ascii="宋体" w:hAnsi="宋体" w:cs="黑体"/>
          <w:szCs w:val="21"/>
          <w:lang w:val="en-US" w:eastAsia="zh-CN"/>
        </w:rPr>
        <w:t>、</w:t>
      </w:r>
      <w:r>
        <w:rPr>
          <w:rFonts w:hint="eastAsia" w:ascii="宋体" w:hAnsi="宋体" w:cs="宋体"/>
          <w:kern w:val="0"/>
          <w:szCs w:val="21"/>
          <w:lang w:val="en-US" w:eastAsia="zh-CN"/>
        </w:rPr>
        <w:t>防爆磁力启动器的，喷塑温度测量，防爆面宽度，静态水压试验等</w:t>
      </w:r>
      <w:r>
        <w:rPr>
          <w:rFonts w:hint="eastAsia" w:ascii="宋体" w:hAnsi="宋体" w:cs="黑体"/>
          <w:bCs/>
          <w:szCs w:val="21"/>
          <w:lang w:val="en-US" w:eastAsia="zh-CN"/>
        </w:rPr>
        <w:t>测量过程</w:t>
      </w:r>
      <w:r>
        <w:rPr>
          <w:rFonts w:hint="eastAsia" w:ascii="宋体" w:hAnsi="宋体" w:cs="黑体"/>
          <w:szCs w:val="21"/>
          <w:lang w:val="en-US" w:eastAsia="zh-CN"/>
        </w:rPr>
        <w:t>18</w:t>
      </w:r>
      <w:r>
        <w:rPr>
          <w:rFonts w:hint="eastAsia" w:ascii="宋体" w:hAnsi="宋体" w:cs="宋体"/>
          <w:bCs/>
          <w:kern w:val="0"/>
          <w:szCs w:val="21"/>
        </w:rPr>
        <w:t>个测量过程</w:t>
      </w:r>
      <w:r>
        <w:rPr>
          <w:rFonts w:hint="eastAsia" w:ascii="宋体" w:hAnsi="宋体" w:cs="宋体"/>
          <w:bCs/>
          <w:kern w:val="0"/>
          <w:szCs w:val="21"/>
          <w:lang w:eastAsia="zh-CN"/>
        </w:rPr>
        <w:t>，没有增加新的测量过程；</w:t>
      </w:r>
      <w:r>
        <w:rPr>
          <w:rFonts w:hint="eastAsia" w:ascii="宋体" w:hAnsi="宋体" w:cs="宋体"/>
          <w:bCs/>
          <w:kern w:val="0"/>
          <w:szCs w:val="21"/>
        </w:rPr>
        <w:t>“</w:t>
      </w:r>
      <w:r>
        <w:rPr>
          <w:rFonts w:ascii="宋体" w:hAnsi="宋体" w:cs="黑体"/>
          <w:szCs w:val="21"/>
          <w:lang w:val="en-US" w:eastAsia="zh-CN"/>
        </w:rPr>
        <w:t>LBQC开关轴外径尺寸检验</w:t>
      </w:r>
      <w:r>
        <w:rPr>
          <w:rFonts w:hint="eastAsia" w:ascii="宋体" w:hAnsi="宋体" w:cs="宋体"/>
          <w:bCs/>
          <w:kern w:val="0"/>
          <w:szCs w:val="21"/>
        </w:rPr>
        <w:t>”为</w:t>
      </w:r>
      <w:r>
        <w:rPr>
          <w:rFonts w:hint="eastAsia" w:ascii="宋体" w:hAnsi="宋体" w:cs="宋体"/>
          <w:bCs/>
          <w:kern w:val="0"/>
          <w:szCs w:val="21"/>
          <w:lang w:eastAsia="zh-CN"/>
        </w:rPr>
        <w:t>高度</w:t>
      </w:r>
      <w:r>
        <w:rPr>
          <w:rFonts w:hint="eastAsia" w:ascii="宋体" w:hAnsi="宋体" w:cs="宋体"/>
          <w:bCs/>
          <w:kern w:val="0"/>
          <w:szCs w:val="21"/>
        </w:rPr>
        <w:t>测量过程。企业分别对测量过程的测量要素，从重要性、技术要求、配备测量设备名称、测量范围、允许误差（测量不确定度）、环境条件、操作人员资质、测量频次、监视方法等方面，予以有效控制和识别。</w:t>
      </w:r>
    </w:p>
    <w:p>
      <w:pPr>
        <w:widowControl/>
        <w:spacing w:line="360" w:lineRule="auto"/>
        <w:rPr>
          <w:rFonts w:ascii="Times New Roman" w:hAnsi="Times New Roman" w:cs="Times New Roman"/>
          <w:bCs/>
          <w:kern w:val="0"/>
          <w:szCs w:val="21"/>
        </w:rPr>
      </w:pPr>
      <w:r>
        <w:rPr>
          <w:rFonts w:ascii="宋体" w:hAnsi="宋体" w:cs="宋体"/>
          <w:bCs/>
          <w:kern w:val="0"/>
          <w:szCs w:val="21"/>
        </w:rPr>
        <w:t>4.2</w:t>
      </w:r>
      <w:r>
        <w:rPr>
          <w:rFonts w:hint="eastAsia" w:ascii="宋体" w:hAnsi="宋体" w:cs="宋体"/>
          <w:bCs/>
          <w:kern w:val="0"/>
          <w:szCs w:val="21"/>
        </w:rPr>
        <w:t>检查了企业的测量设备《计量确认明</w:t>
      </w:r>
      <w:r>
        <w:rPr>
          <w:rFonts w:hint="eastAsia" w:ascii="宋体" w:hAnsi="宋体" w:cs="宋体"/>
          <w:bCs/>
          <w:color w:val="auto"/>
          <w:kern w:val="0"/>
          <w:szCs w:val="21"/>
        </w:rPr>
        <w:t>细表》，对</w:t>
      </w:r>
      <w:r>
        <w:rPr>
          <w:rFonts w:hint="eastAsia" w:ascii="宋体" w:hAnsi="宋体" w:cs="宋体"/>
          <w:bCs/>
          <w:color w:val="auto"/>
          <w:kern w:val="0"/>
          <w:szCs w:val="21"/>
          <w:lang w:val="en-US" w:eastAsia="zh-CN"/>
        </w:rPr>
        <w:t>70</w:t>
      </w:r>
      <w:r>
        <w:rPr>
          <w:rFonts w:hint="eastAsia" w:ascii="宋体" w:hAnsi="宋体" w:cs="宋体"/>
          <w:bCs/>
          <w:color w:val="auto"/>
          <w:kern w:val="0"/>
          <w:szCs w:val="21"/>
        </w:rPr>
        <w:t>台件测量设</w:t>
      </w:r>
      <w:r>
        <w:rPr>
          <w:rFonts w:hint="eastAsia" w:ascii="宋体" w:hAnsi="宋体" w:cs="宋体"/>
          <w:bCs/>
          <w:kern w:val="0"/>
          <w:szCs w:val="21"/>
        </w:rPr>
        <w:t>备器具进行了计量确认和验证。全部在有效期内，验证结果均为合格。关键测量过程：“</w:t>
      </w:r>
      <w:r>
        <w:rPr>
          <w:rFonts w:ascii="宋体" w:hAnsi="宋体" w:cs="黑体"/>
          <w:szCs w:val="21"/>
          <w:lang w:val="en-US" w:eastAsia="zh-CN"/>
        </w:rPr>
        <w:t>LBQC开关轴外径尺寸检验</w:t>
      </w:r>
      <w:r>
        <w:rPr>
          <w:rFonts w:hint="eastAsia" w:ascii="宋体" w:hAnsi="宋体" w:cs="宋体"/>
          <w:bCs/>
          <w:kern w:val="0"/>
          <w:szCs w:val="21"/>
        </w:rPr>
        <w:t>”，计量性能测试、监视记录、监视控制图，均已按测量过程控制规范，进行了有效性监视和记录统计。</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增加关键测量过程。</w:t>
      </w:r>
      <w:r>
        <w:rPr>
          <w:rFonts w:hint="eastAsia" w:ascii="Times New Roman" w:hAnsi="Times New Roman" w:cs="Times New Roman"/>
          <w:bCs/>
          <w:kern w:val="0"/>
          <w:szCs w:val="21"/>
          <w:lang w:eastAsia="zh-CN"/>
        </w:rPr>
        <w:t>查原有</w:t>
      </w:r>
      <w:r>
        <w:rPr>
          <w:rFonts w:ascii="Times New Roman" w:hAnsi="Times New Roman" w:cs="Times New Roman"/>
          <w:bCs/>
          <w:kern w:val="0"/>
          <w:szCs w:val="21"/>
        </w:rPr>
        <w:t>《</w:t>
      </w:r>
      <w:r>
        <w:rPr>
          <w:rFonts w:ascii="宋体" w:hAnsi="宋体" w:cs="黑体"/>
          <w:szCs w:val="21"/>
          <w:lang w:val="en-US" w:eastAsia="zh-CN"/>
        </w:rPr>
        <w:t>LBQC开关轴外径尺寸</w:t>
      </w:r>
      <w:r>
        <w:rPr>
          <w:rFonts w:hint="eastAsia" w:ascii="宋体" w:hAnsi="宋体" w:cs="宋体"/>
          <w:kern w:val="0"/>
          <w:szCs w:val="21"/>
          <w:shd w:val="clear" w:color="auto" w:fill="auto"/>
        </w:rPr>
        <w:t>检验</w:t>
      </w:r>
      <w:r>
        <w:rPr>
          <w:rFonts w:ascii="Times New Roman" w:hAnsi="Times New Roman" w:cs="Times New Roman"/>
          <w:bCs/>
          <w:kern w:val="0"/>
          <w:szCs w:val="21"/>
        </w:rPr>
        <w:t>测量过程》，计量要求导出和计量验证记录表填写规范，计量要求导出方法正确；测量设备的配备满足计量要求，测量设备经过检定校准，测量设备验证方法正确。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Fonts w:ascii="宋体" w:hAnsi="宋体" w:cs="黑体"/>
          <w:szCs w:val="21"/>
          <w:lang w:val="en-US" w:eastAsia="zh-CN"/>
        </w:rPr>
        <w:t>LBQC开关轴外径尺寸</w:t>
      </w:r>
      <w:r>
        <w:rPr>
          <w:rFonts w:hint="eastAsia" w:ascii="Times New Roman" w:hAnsi="Times New Roman"/>
          <w:sz w:val="21"/>
          <w:szCs w:val="21"/>
        </w:rPr>
        <w:t>测量过程</w:t>
      </w:r>
      <w:r>
        <w:rPr>
          <w:rFonts w:ascii="Times New Roman" w:hAnsi="Times New Roman" w:cs="Times New Roman"/>
          <w:bCs/>
          <w:kern w:val="0"/>
          <w:sz w:val="21"/>
          <w:szCs w:val="21"/>
        </w:rPr>
        <w:t>测量不确定度评定》，方法和结果正确；</w:t>
      </w:r>
    </w:p>
    <w:p>
      <w:pPr>
        <w:widowControl/>
        <w:spacing w:line="360" w:lineRule="auto"/>
        <w:rPr>
          <w:rFonts w:ascii="Times New Roman" w:hAnsi="Times New Roman" w:cs="Times New Roman"/>
          <w:bCs/>
          <w:kern w:val="0"/>
          <w:szCs w:val="21"/>
          <w:highlight w:val="none"/>
        </w:rPr>
      </w:pPr>
      <w:r>
        <w:rPr>
          <w:rFonts w:ascii="Times New Roman" w:hAnsi="Times New Roman" w:cs="Times New Roman"/>
          <w:bCs/>
          <w:kern w:val="0"/>
          <w:sz w:val="21"/>
          <w:szCs w:val="21"/>
        </w:rPr>
        <w:t>4.5、查《</w:t>
      </w:r>
      <w:r>
        <w:rPr>
          <w:rFonts w:ascii="宋体" w:hAnsi="宋体" w:cs="黑体"/>
          <w:szCs w:val="21"/>
          <w:lang w:val="en-US" w:eastAsia="zh-CN"/>
        </w:rPr>
        <w:t>LBQC开关轴外径尺寸</w:t>
      </w:r>
      <w:r>
        <w:rPr>
          <w:rFonts w:hint="eastAsia" w:ascii="宋体" w:hAnsi="宋体" w:cs="宋体"/>
          <w:sz w:val="21"/>
          <w:szCs w:val="21"/>
        </w:rPr>
        <w:t>测量</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w:t>
      </w:r>
      <w:r>
        <w:rPr>
          <w:rFonts w:ascii="Times New Roman" w:hAnsi="Times New Roman" w:cs="Times New Roman"/>
          <w:bCs/>
          <w:kern w:val="0"/>
          <w:szCs w:val="21"/>
          <w:highlight w:val="none"/>
        </w:rPr>
        <w:t>确。</w:t>
      </w:r>
    </w:p>
    <w:p>
      <w:pPr>
        <w:widowControl/>
        <w:spacing w:line="360" w:lineRule="auto"/>
        <w:rPr>
          <w:rFonts w:hint="eastAsia" w:ascii="Times New Roman" w:hAnsi="Times New Roman" w:cs="Times New Roman" w:eastAsiaTheme="minorEastAsia"/>
          <w:bCs/>
          <w:color w:val="auto"/>
          <w:kern w:val="0"/>
          <w:szCs w:val="21"/>
          <w:lang w:val="en-US" w:eastAsia="zh-CN"/>
        </w:rPr>
      </w:pPr>
      <w:r>
        <w:rPr>
          <w:rFonts w:ascii="Times New Roman" w:hAnsi="Times New Roman" w:cs="Times New Roman"/>
          <w:bCs/>
          <w:kern w:val="0"/>
          <w:sz w:val="21"/>
          <w:szCs w:val="21"/>
          <w:highlight w:val="none"/>
        </w:rPr>
        <w:t>4.</w:t>
      </w:r>
      <w:r>
        <w:rPr>
          <w:rFonts w:hint="eastAsia" w:ascii="Times New Roman" w:hAnsi="Times New Roman" w:cs="Times New Roman"/>
          <w:bCs/>
          <w:kern w:val="0"/>
          <w:sz w:val="21"/>
          <w:szCs w:val="21"/>
          <w:highlight w:val="none"/>
          <w:lang w:val="en-US" w:eastAsia="zh-CN"/>
        </w:rPr>
        <w:t>6</w:t>
      </w:r>
      <w:r>
        <w:rPr>
          <w:rFonts w:hint="eastAsia" w:cs="宋体" w:asciiTheme="minorEastAsia" w:hAnsiTheme="minorEastAsia"/>
          <w:color w:val="auto"/>
          <w:kern w:val="0"/>
          <w:szCs w:val="21"/>
          <w:highlight w:val="none"/>
        </w:rPr>
        <w:t>测量设备的溯源：</w:t>
      </w:r>
      <w:r>
        <w:rPr>
          <w:rFonts w:hint="eastAsia" w:cs="宋体" w:asciiTheme="minorEastAsia" w:hAnsiTheme="minorEastAsia"/>
          <w:color w:val="auto"/>
          <w:kern w:val="0"/>
          <w:szCs w:val="21"/>
          <w:highlight w:val="none"/>
          <w:lang w:eastAsia="zh-CN"/>
        </w:rPr>
        <w:t>企</w:t>
      </w:r>
      <w:r>
        <w:rPr>
          <w:rFonts w:hint="eastAsia" w:cs="宋体" w:asciiTheme="minorEastAsia" w:hAnsiTheme="minorEastAsia"/>
          <w:color w:val="auto"/>
          <w:kern w:val="0"/>
          <w:szCs w:val="21"/>
          <w:lang w:eastAsia="zh-CN"/>
        </w:rPr>
        <w:t>业未</w:t>
      </w:r>
      <w:r>
        <w:rPr>
          <w:rFonts w:hint="eastAsia" w:ascii="宋体" w:hAnsi="宋体" w:eastAsia="宋体"/>
          <w:bCs/>
          <w:color w:val="auto"/>
          <w:szCs w:val="21"/>
        </w:rPr>
        <w:t>建立最高标准，企业测量设备除自检</w:t>
      </w:r>
      <w:r>
        <w:rPr>
          <w:rFonts w:hint="eastAsia" w:ascii="宋体" w:hAnsi="宋体" w:eastAsia="宋体"/>
          <w:bCs/>
          <w:color w:val="auto"/>
          <w:sz w:val="21"/>
          <w:szCs w:val="21"/>
        </w:rPr>
        <w:t>外送</w:t>
      </w:r>
      <w:r>
        <w:rPr>
          <w:rFonts w:hint="eastAsia"/>
          <w:sz w:val="21"/>
          <w:szCs w:val="21"/>
        </w:rPr>
        <w:t>辽宁东测检测技术有限公司</w:t>
      </w:r>
      <w:r>
        <w:rPr>
          <w:rFonts w:hint="eastAsia" w:cs="Tahoma"/>
          <w:color w:val="auto"/>
          <w:sz w:val="21"/>
          <w:szCs w:val="21"/>
          <w:lang w:eastAsia="zh-CN"/>
        </w:rPr>
        <w:t>，</w:t>
      </w:r>
      <w:r>
        <w:rPr>
          <w:rFonts w:hint="eastAsia"/>
          <w:color w:val="auto"/>
          <w:sz w:val="21"/>
          <w:szCs w:val="21"/>
          <w:highlight w:val="none"/>
          <w:lang w:val="en-US" w:eastAsia="zh-CN"/>
        </w:rPr>
        <w:t>其机构</w:t>
      </w:r>
      <w:r>
        <w:rPr>
          <w:rFonts w:hint="eastAsia" w:ascii="宋体" w:hAnsi="宋体" w:eastAsia="宋体" w:cs="宋体"/>
          <w:color w:val="auto"/>
          <w:sz w:val="21"/>
          <w:szCs w:val="21"/>
          <w:highlight w:val="none"/>
        </w:rPr>
        <w:t xml:space="preserve">注册号为CNAS </w:t>
      </w:r>
      <w:r>
        <w:rPr>
          <w:rFonts w:hint="eastAsia" w:ascii="宋体" w:hAnsi="宋体" w:eastAsia="宋体" w:cs="宋体"/>
          <w:color w:val="auto"/>
          <w:sz w:val="21"/>
          <w:szCs w:val="21"/>
          <w:highlight w:val="none"/>
          <w:lang w:val="en-US" w:eastAsia="zh-CN"/>
        </w:rPr>
        <w:t>L4131；沈阳计量测试院，</w:t>
      </w:r>
      <w:r>
        <w:rPr>
          <w:rFonts w:hint="eastAsia"/>
          <w:color w:val="auto"/>
          <w:sz w:val="21"/>
          <w:szCs w:val="21"/>
          <w:highlight w:val="none"/>
          <w:lang w:val="en-US" w:eastAsia="zh-CN"/>
        </w:rPr>
        <w:t>其机构</w:t>
      </w:r>
      <w:r>
        <w:rPr>
          <w:rFonts w:hint="eastAsia" w:ascii="宋体" w:hAnsi="宋体" w:eastAsia="宋体" w:cs="宋体"/>
          <w:color w:val="auto"/>
          <w:sz w:val="21"/>
          <w:szCs w:val="21"/>
          <w:highlight w:val="none"/>
        </w:rPr>
        <w:t xml:space="preserve">注册号为CNAS </w:t>
      </w:r>
      <w:r>
        <w:rPr>
          <w:rFonts w:hint="eastAsia" w:ascii="宋体" w:hAnsi="宋体" w:eastAsia="宋体" w:cs="宋体"/>
          <w:color w:val="auto"/>
          <w:sz w:val="21"/>
          <w:szCs w:val="21"/>
          <w:highlight w:val="none"/>
          <w:lang w:val="en-US" w:eastAsia="zh-CN"/>
        </w:rPr>
        <w:t>L0147</w:t>
      </w:r>
      <w:r>
        <w:rPr>
          <w:rFonts w:hint="eastAsia"/>
          <w:color w:val="auto"/>
          <w:sz w:val="21"/>
          <w:szCs w:val="21"/>
          <w:highlight w:val="none"/>
          <w:lang w:val="en-US" w:eastAsia="zh-CN"/>
        </w:rPr>
        <w:t>量</w:t>
      </w:r>
      <w:r>
        <w:rPr>
          <w:rFonts w:hint="eastAsia" w:ascii="宋体" w:hAnsi="宋体" w:eastAsia="宋体" w:cs="宋体"/>
          <w:color w:val="auto"/>
          <w:sz w:val="21"/>
          <w:szCs w:val="21"/>
          <w:highlight w:val="none"/>
        </w:rPr>
        <w:t>值溯源符合标准要求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随机抽查</w:t>
      </w:r>
      <w:r>
        <w:rPr>
          <w:rFonts w:hint="eastAsia" w:ascii="宋体" w:hAnsi="宋体" w:eastAsia="宋体" w:cs="宋体"/>
          <w:color w:val="auto"/>
          <w:sz w:val="21"/>
          <w:szCs w:val="21"/>
          <w:highlight w:val="none"/>
          <w:lang w:val="en-US" w:eastAsia="zh-CN"/>
        </w:rPr>
        <w:t>11份校准证书</w:t>
      </w:r>
      <w:r>
        <w:rPr>
          <w:rFonts w:hint="eastAsia" w:ascii="宋体" w:hAnsi="宋体" w:eastAsia="宋体" w:cs="宋体"/>
          <w:color w:val="auto"/>
          <w:sz w:val="21"/>
          <w:szCs w:val="21"/>
          <w:highlight w:val="none"/>
        </w:rPr>
        <w:t>，证书中使用的计量标准符合要求，填写规范，信息无遗漏，授权人</w:t>
      </w:r>
      <w:r>
        <w:rPr>
          <w:rFonts w:ascii="Times New Roman" w:hAnsi="Times New Roman"/>
          <w:color w:val="auto"/>
          <w:sz w:val="21"/>
          <w:szCs w:val="21"/>
          <w:highlight w:val="none"/>
        </w:rPr>
        <w:t>签章资质有效，符合要求。详见附件《测量设备溯源抽查表》。</w:t>
      </w:r>
    </w:p>
    <w:p>
      <w:pPr>
        <w:snapToGrid w:val="0"/>
        <w:spacing w:line="460" w:lineRule="exact"/>
        <w:rPr>
          <w:rFonts w:hint="eastAsia" w:ascii="宋体" w:hAnsi="宋体" w:cs="宋体"/>
          <w:bCs/>
          <w:kern w:val="0"/>
          <w:szCs w:val="21"/>
          <w:lang w:eastAsia="zh-CN"/>
        </w:rPr>
      </w:pPr>
      <w:r>
        <w:rPr>
          <w:rFonts w:ascii="宋体" w:hAnsi="宋体" w:cs="宋体"/>
          <w:bCs/>
          <w:kern w:val="0"/>
          <w:szCs w:val="21"/>
        </w:rPr>
        <w:t>5.</w:t>
      </w:r>
      <w:r>
        <w:rPr>
          <w:rFonts w:hint="eastAsia" w:ascii="宋体" w:hAnsi="宋体" w:cs="宋体"/>
          <w:bCs/>
          <w:kern w:val="0"/>
          <w:szCs w:val="21"/>
        </w:rPr>
        <w:t>对</w:t>
      </w:r>
      <w:r>
        <w:rPr>
          <w:rFonts w:hint="eastAsia" w:ascii="宋体" w:hAnsi="宋体" w:cs="宋体"/>
          <w:bCs/>
          <w:kern w:val="0"/>
          <w:szCs w:val="21"/>
          <w:lang w:eastAsia="zh-CN"/>
        </w:rPr>
        <w:t>上次监督</w:t>
      </w:r>
      <w:r>
        <w:rPr>
          <w:rFonts w:hint="eastAsia" w:ascii="宋体" w:hAnsi="宋体" w:cs="宋体"/>
          <w:bCs/>
          <w:kern w:val="0"/>
          <w:szCs w:val="21"/>
        </w:rPr>
        <w:t>审核时提出的不符合项的纠正措施情况：</w:t>
      </w:r>
    </w:p>
    <w:p>
      <w:pPr>
        <w:snapToGrid w:val="0"/>
        <w:spacing w:line="460" w:lineRule="exact"/>
        <w:ind w:firstLine="420" w:firstLineChars="200"/>
        <w:rPr>
          <w:rFonts w:ascii="宋体" w:hAnsi="宋体" w:cs="宋体"/>
          <w:bCs/>
          <w:kern w:val="0"/>
          <w:szCs w:val="21"/>
        </w:rPr>
      </w:pPr>
      <w:r>
        <w:rPr>
          <w:rFonts w:hint="eastAsia" w:ascii="宋体" w:hAnsi="宋体"/>
          <w:b w:val="0"/>
          <w:bCs/>
          <w:szCs w:val="21"/>
        </w:rPr>
        <w:t>公司</w:t>
      </w:r>
      <w:r>
        <w:rPr>
          <w:rFonts w:hint="eastAsia" w:ascii="宋体" w:hAnsi="宋体"/>
          <w:b w:val="0"/>
          <w:bCs/>
          <w:sz w:val="21"/>
          <w:szCs w:val="21"/>
        </w:rPr>
        <w:t>对上年度</w:t>
      </w:r>
      <w:r>
        <w:rPr>
          <w:rFonts w:hint="eastAsia" w:ascii="宋体" w:hAnsi="宋体"/>
          <w:b w:val="0"/>
          <w:bCs/>
          <w:sz w:val="21"/>
          <w:szCs w:val="21"/>
          <w:lang w:eastAsia="zh-CN"/>
        </w:rPr>
        <w:t>监督</w:t>
      </w:r>
      <w:r>
        <w:rPr>
          <w:rFonts w:hint="eastAsia" w:ascii="宋体" w:hAnsi="宋体"/>
          <w:b w:val="0"/>
          <w:bCs/>
          <w:sz w:val="21"/>
          <w:szCs w:val="21"/>
        </w:rPr>
        <w:t>审核中的</w:t>
      </w:r>
      <w:r>
        <w:rPr>
          <w:rFonts w:hint="eastAsia" w:ascii="宋体" w:hAnsi="宋体"/>
          <w:b w:val="0"/>
          <w:bCs/>
          <w:sz w:val="21"/>
          <w:szCs w:val="21"/>
          <w:lang w:val="en-US" w:eastAsia="zh-CN"/>
        </w:rPr>
        <w:t>1</w:t>
      </w:r>
      <w:r>
        <w:rPr>
          <w:rFonts w:hint="eastAsia" w:ascii="宋体" w:hAnsi="宋体"/>
          <w:b w:val="0"/>
          <w:bCs/>
          <w:sz w:val="21"/>
          <w:szCs w:val="21"/>
        </w:rPr>
        <w:t>个不符合项，及时制定整改计划，采取了如下纠正措施：已对开出的不符合项：</w:t>
      </w:r>
      <w:r>
        <w:rPr>
          <w:rFonts w:hint="eastAsia" w:ascii="宋体" w:hAnsi="宋体"/>
          <w:b w:val="0"/>
          <w:bCs/>
          <w:sz w:val="21"/>
          <w:szCs w:val="21"/>
          <w:lang w:eastAsia="zh-CN"/>
        </w:rPr>
        <w:t>“</w:t>
      </w:r>
      <w:r>
        <w:rPr>
          <w:rFonts w:hint="eastAsia" w:ascii="宋体" w:hAnsi="宋体" w:cs="宋体"/>
          <w:kern w:val="0"/>
          <w:szCs w:val="21"/>
        </w:rPr>
        <w:t xml:space="preserve"> </w:t>
      </w:r>
      <w:r>
        <w:rPr>
          <w:rFonts w:hint="eastAsia" w:ascii="宋体" w:hAnsi="宋体"/>
          <w:bCs/>
          <w:color w:val="auto"/>
          <w:szCs w:val="21"/>
        </w:rPr>
        <w:t>查质检部编号CLYZ-02水压试验测量过程验证记录，公司编号为</w:t>
      </w:r>
      <w:r>
        <w:rPr>
          <w:color w:val="auto"/>
        </w:rPr>
        <w:t xml:space="preserve"> </w:t>
      </w:r>
      <w:r>
        <w:rPr>
          <w:rFonts w:ascii="宋体" w:hAnsi="宋体"/>
          <w:bCs/>
          <w:color w:val="auto"/>
          <w:szCs w:val="21"/>
        </w:rPr>
        <w:t>ZXFB.JY10</w:t>
      </w:r>
      <w:r>
        <w:rPr>
          <w:rFonts w:hint="eastAsia" w:ascii="宋体" w:hAnsi="宋体"/>
          <w:bCs/>
          <w:color w:val="auto"/>
          <w:szCs w:val="21"/>
        </w:rPr>
        <w:t>静态(水压)试验方法规定，ⅡC产品水试验压力</w:t>
      </w:r>
      <w:r>
        <w:rPr>
          <w:rFonts w:ascii="Bookman Old Style" w:hAnsi="Bookman Old Style"/>
          <w:bCs/>
          <w:color w:val="auto"/>
          <w:szCs w:val="21"/>
        </w:rPr>
        <w:t>≥</w:t>
      </w:r>
      <w:r>
        <w:rPr>
          <w:rFonts w:hint="eastAsia" w:ascii="宋体" w:hAnsi="宋体"/>
          <w:bCs/>
          <w:color w:val="auto"/>
          <w:szCs w:val="21"/>
        </w:rPr>
        <w:t>2</w:t>
      </w:r>
      <w:r>
        <w:rPr>
          <w:rFonts w:ascii="宋体" w:hAnsi="宋体"/>
          <w:bCs/>
          <w:color w:val="auto"/>
          <w:szCs w:val="21"/>
        </w:rPr>
        <w:t>.0</w:t>
      </w:r>
      <w:r>
        <w:rPr>
          <w:rFonts w:hint="eastAsia" w:ascii="宋体" w:hAnsi="宋体"/>
          <w:bCs/>
          <w:color w:val="auto"/>
          <w:szCs w:val="21"/>
        </w:rPr>
        <w:t>MP</w:t>
      </w:r>
      <w:r>
        <w:rPr>
          <w:rFonts w:ascii="宋体" w:hAnsi="宋体"/>
          <w:bCs/>
          <w:color w:val="auto"/>
          <w:szCs w:val="21"/>
        </w:rPr>
        <w:t>a</w:t>
      </w:r>
      <w:r>
        <w:rPr>
          <w:rFonts w:hint="eastAsia" w:ascii="宋体" w:hAnsi="宋体"/>
          <w:bCs/>
          <w:color w:val="auto"/>
          <w:szCs w:val="21"/>
        </w:rPr>
        <w:t>,企业选用编号为1</w:t>
      </w:r>
      <w:r>
        <w:rPr>
          <w:rFonts w:ascii="宋体" w:hAnsi="宋体"/>
          <w:bCs/>
          <w:color w:val="auto"/>
          <w:szCs w:val="21"/>
        </w:rPr>
        <w:t>5.10.336</w:t>
      </w:r>
      <w:r>
        <w:rPr>
          <w:rFonts w:hint="eastAsia" w:ascii="宋体" w:hAnsi="宋体"/>
          <w:bCs/>
          <w:color w:val="auto"/>
          <w:szCs w:val="21"/>
        </w:rPr>
        <w:t>，量程（0-</w:t>
      </w:r>
      <w:r>
        <w:rPr>
          <w:rFonts w:ascii="宋体" w:hAnsi="宋体"/>
          <w:bCs/>
          <w:color w:val="auto"/>
          <w:szCs w:val="21"/>
        </w:rPr>
        <w:t>4.0</w:t>
      </w:r>
      <w:r>
        <w:rPr>
          <w:rFonts w:hint="eastAsia" w:ascii="宋体" w:hAnsi="宋体"/>
          <w:bCs/>
          <w:color w:val="auto"/>
          <w:szCs w:val="21"/>
        </w:rPr>
        <w:t>）MP</w:t>
      </w:r>
      <w:r>
        <w:rPr>
          <w:rFonts w:ascii="宋体" w:hAnsi="宋体"/>
          <w:bCs/>
          <w:color w:val="auto"/>
          <w:szCs w:val="21"/>
        </w:rPr>
        <w:t>a</w:t>
      </w:r>
      <w:r>
        <w:rPr>
          <w:rFonts w:hint="eastAsia" w:ascii="宋体" w:hAnsi="宋体"/>
          <w:bCs/>
          <w:color w:val="auto"/>
          <w:szCs w:val="21"/>
        </w:rPr>
        <w:t>满足要求.验证记录却是选用（0-</w:t>
      </w:r>
      <w:r>
        <w:rPr>
          <w:rFonts w:ascii="宋体" w:hAnsi="宋体"/>
          <w:bCs/>
          <w:color w:val="auto"/>
          <w:szCs w:val="21"/>
        </w:rPr>
        <w:t>2.5</w:t>
      </w:r>
      <w:r>
        <w:rPr>
          <w:rFonts w:hint="eastAsia" w:ascii="宋体" w:hAnsi="宋体"/>
          <w:bCs/>
          <w:color w:val="auto"/>
          <w:szCs w:val="21"/>
        </w:rPr>
        <w:t>）MPa压力表。不满足标准GB/T</w:t>
      </w:r>
      <w:r>
        <w:rPr>
          <w:rFonts w:ascii="宋体" w:hAnsi="宋体"/>
          <w:bCs/>
          <w:color w:val="auto"/>
          <w:szCs w:val="21"/>
        </w:rPr>
        <w:t xml:space="preserve"> </w:t>
      </w:r>
      <w:r>
        <w:rPr>
          <w:rFonts w:hint="eastAsia" w:ascii="宋体" w:hAnsi="宋体"/>
          <w:bCs/>
          <w:color w:val="auto"/>
          <w:szCs w:val="21"/>
        </w:rPr>
        <w:t>19022-2003条款7.1.</w:t>
      </w:r>
      <w:r>
        <w:rPr>
          <w:rFonts w:hint="eastAsia" w:ascii="宋体" w:hAnsi="宋体"/>
          <w:bCs/>
          <w:color w:val="auto"/>
          <w:szCs w:val="21"/>
          <w:lang w:val="en-US" w:eastAsia="zh-CN"/>
        </w:rPr>
        <w:t>4</w:t>
      </w:r>
      <w:r>
        <w:rPr>
          <w:rFonts w:hint="eastAsia" w:ascii="宋体" w:hAnsi="宋体"/>
          <w:bCs/>
          <w:color w:val="auto"/>
          <w:szCs w:val="21"/>
        </w:rPr>
        <w:t>计量确认</w:t>
      </w:r>
      <w:r>
        <w:rPr>
          <w:rFonts w:hint="eastAsia" w:ascii="宋体" w:hAnsi="宋体"/>
          <w:bCs/>
          <w:color w:val="auto"/>
          <w:szCs w:val="21"/>
          <w:lang w:eastAsia="zh-CN"/>
        </w:rPr>
        <w:t>过程记录</w:t>
      </w:r>
      <w:r>
        <w:rPr>
          <w:rFonts w:hint="eastAsia" w:ascii="宋体" w:hAnsi="宋体"/>
          <w:bCs/>
          <w:color w:val="auto"/>
          <w:szCs w:val="21"/>
        </w:rPr>
        <w:t>的要求</w:t>
      </w:r>
      <w:r>
        <w:rPr>
          <w:rFonts w:hint="eastAsia" w:ascii="宋体" w:hAnsi="宋体"/>
          <w:szCs w:val="21"/>
          <w:u w:val="none"/>
          <w:lang w:val="en-US" w:eastAsia="zh-CN"/>
        </w:rPr>
        <w:t>”</w:t>
      </w:r>
      <w:r>
        <w:rPr>
          <w:rFonts w:hint="eastAsia" w:ascii="宋体" w:hAnsi="宋体"/>
          <w:sz w:val="21"/>
          <w:szCs w:val="21"/>
        </w:rPr>
        <w:t>，</w:t>
      </w:r>
      <w:r>
        <w:rPr>
          <w:rFonts w:hint="eastAsia" w:ascii="Times New Roman" w:hAnsi="Times New Roman"/>
          <w:b w:val="0"/>
          <w:bCs/>
          <w:sz w:val="21"/>
          <w:szCs w:val="21"/>
          <w:lang w:val="en-US" w:eastAsia="zh-CN"/>
        </w:rPr>
        <w:t>.</w:t>
      </w:r>
      <w:r>
        <w:rPr>
          <w:rFonts w:hint="eastAsia" w:ascii="宋体" w:hAnsi="宋体" w:cs="宋体"/>
          <w:b w:val="0"/>
          <w:bCs/>
          <w:kern w:val="0"/>
          <w:sz w:val="21"/>
          <w:szCs w:val="21"/>
        </w:rPr>
        <w:t>经本次现场审核，审核组通过对整改完成情况及纠正措施有效性进行查验，确认公司上次</w:t>
      </w:r>
      <w:r>
        <w:rPr>
          <w:rFonts w:hint="eastAsia" w:ascii="宋体" w:hAnsi="宋体" w:cs="宋体"/>
          <w:b w:val="0"/>
          <w:bCs/>
          <w:kern w:val="0"/>
          <w:sz w:val="21"/>
          <w:szCs w:val="21"/>
          <w:lang w:eastAsia="zh-CN"/>
        </w:rPr>
        <w:t>监督</w:t>
      </w:r>
      <w:r>
        <w:rPr>
          <w:rFonts w:hint="eastAsia" w:ascii="宋体" w:hAnsi="宋体" w:cs="宋体"/>
          <w:b w:val="0"/>
          <w:bCs/>
          <w:kern w:val="0"/>
          <w:sz w:val="21"/>
          <w:szCs w:val="21"/>
        </w:rPr>
        <w:t>审核中确定的</w:t>
      </w:r>
      <w:r>
        <w:rPr>
          <w:rFonts w:hint="eastAsia" w:ascii="宋体" w:hAnsi="宋体" w:cs="宋体"/>
          <w:b w:val="0"/>
          <w:bCs/>
          <w:kern w:val="0"/>
          <w:sz w:val="21"/>
          <w:szCs w:val="21"/>
          <w:lang w:val="en-US" w:eastAsia="zh-CN"/>
        </w:rPr>
        <w:t>1</w:t>
      </w:r>
      <w:r>
        <w:rPr>
          <w:rFonts w:hint="eastAsia" w:ascii="宋体" w:hAnsi="宋体" w:cs="宋体"/>
          <w:b w:val="0"/>
          <w:bCs/>
          <w:kern w:val="0"/>
          <w:sz w:val="21"/>
          <w:szCs w:val="21"/>
        </w:rPr>
        <w:t>个不符合项，该公司</w:t>
      </w:r>
      <w:r>
        <w:rPr>
          <w:rFonts w:hint="eastAsia" w:ascii="宋体" w:hAnsi="宋体" w:cs="宋体"/>
          <w:kern w:val="0"/>
          <w:sz w:val="21"/>
          <w:szCs w:val="21"/>
        </w:rPr>
        <w:t>所采取的纠正措施按时整改完成，纠正措施有效，预防再次发生。同意关闭不符合项。</w:t>
      </w:r>
    </w:p>
    <w:p>
      <w:pPr>
        <w:widowControl/>
        <w:spacing w:line="360" w:lineRule="auto"/>
        <w:rPr>
          <w:rFonts w:ascii="宋体" w:cs="宋体"/>
          <w:bCs/>
          <w:kern w:val="0"/>
          <w:szCs w:val="21"/>
        </w:rPr>
      </w:pPr>
      <w:r>
        <w:rPr>
          <w:rFonts w:ascii="宋体" w:hAnsi="宋体" w:cs="宋体"/>
          <w:bCs/>
          <w:kern w:val="0"/>
          <w:szCs w:val="21"/>
        </w:rPr>
        <w:t>6.</w:t>
      </w:r>
      <w:r>
        <w:rPr>
          <w:rFonts w:hint="eastAsia" w:ascii="宋体" w:hAnsi="宋体" w:cs="宋体"/>
          <w:bCs/>
          <w:kern w:val="0"/>
          <w:szCs w:val="21"/>
        </w:rPr>
        <w:t>对投诉的处理情况：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公司目前尚未接到客户在产品质量、物料交接、安全、现场管理等方面的投诉和纠纷。</w:t>
      </w:r>
    </w:p>
    <w:p>
      <w:pPr>
        <w:widowControl/>
        <w:spacing w:line="360" w:lineRule="auto"/>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企业规定了公司的计量工作目标</w:t>
      </w:r>
      <w:r>
        <w:rPr>
          <w:rFonts w:hint="eastAsia" w:cs="宋体" w:asciiTheme="minorEastAsia" w:hAnsiTheme="minorEastAsia"/>
          <w:bCs/>
          <w:kern w:val="0"/>
          <w:szCs w:val="21"/>
          <w:lang w:val="en-US" w:eastAsia="zh-CN"/>
        </w:rPr>
        <w:t>5</w:t>
      </w:r>
      <w:r>
        <w:rPr>
          <w:rFonts w:hint="eastAsia" w:cs="宋体" w:asciiTheme="minorEastAsia" w:hAnsiTheme="minorEastAsia"/>
          <w:bCs/>
          <w:kern w:val="0"/>
          <w:szCs w:val="21"/>
        </w:rPr>
        <w:t>项，质量目标与计量方针一致。202</w:t>
      </w:r>
      <w:r>
        <w:rPr>
          <w:rFonts w:hint="eastAsia" w:cs="宋体" w:asciiTheme="minorEastAsia" w:hAnsiTheme="minorEastAsia"/>
          <w:bCs/>
          <w:kern w:val="0"/>
          <w:szCs w:val="21"/>
          <w:lang w:val="en-US" w:eastAsia="zh-CN"/>
        </w:rPr>
        <w:t>1</w:t>
      </w:r>
      <w:r>
        <w:rPr>
          <w:rFonts w:hint="eastAsia" w:cs="宋体" w:asciiTheme="minorEastAsia" w:hAnsiTheme="minorEastAsia"/>
          <w:bCs/>
          <w:kern w:val="0"/>
          <w:szCs w:val="21"/>
        </w:rPr>
        <w:t>年度质量目标已分解。抽查企业</w:t>
      </w:r>
      <w:r>
        <w:rPr>
          <w:rFonts w:hint="eastAsia" w:cs="宋体" w:asciiTheme="minorEastAsia" w:hAnsiTheme="minorEastAsia"/>
          <w:bCs/>
          <w:kern w:val="0"/>
          <w:szCs w:val="21"/>
          <w:lang w:val="en-US" w:eastAsia="zh-CN"/>
        </w:rPr>
        <w:t>5-12月和2022年1月，6</w:t>
      </w:r>
      <w:r>
        <w:rPr>
          <w:rFonts w:hint="eastAsia" w:cs="宋体" w:asciiTheme="minorEastAsia" w:hAnsiTheme="minorEastAsia"/>
          <w:bCs/>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spacing w:line="360" w:lineRule="auto"/>
        <w:ind w:firstLine="420" w:firstLineChars="200"/>
        <w:rPr>
          <w:rFonts w:ascii="宋体" w:cs="宋体"/>
          <w:bCs/>
          <w:kern w:val="0"/>
          <w:szCs w:val="21"/>
          <w:highlight w:val="none"/>
        </w:rPr>
      </w:pPr>
      <w:r>
        <w:rPr>
          <w:rFonts w:hint="eastAsia" w:ascii="宋体" w:hAnsi="宋体" w:cs="宋体"/>
          <w:bCs/>
          <w:kern w:val="0"/>
          <w:szCs w:val="21"/>
          <w:highlight w:val="none"/>
        </w:rPr>
        <w:t>公司在测量管理体系运行方面</w:t>
      </w:r>
      <w:r>
        <w:rPr>
          <w:rFonts w:hint="eastAsia" w:ascii="宋体" w:hAnsi="宋体" w:cs="宋体"/>
          <w:bCs/>
          <w:kern w:val="0"/>
          <w:szCs w:val="21"/>
          <w:highlight w:val="none"/>
          <w:lang w:eastAsia="zh-CN"/>
        </w:rPr>
        <w:t>正常</w:t>
      </w:r>
      <w:r>
        <w:rPr>
          <w:rFonts w:hint="eastAsia" w:ascii="宋体" w:hAnsi="宋体" w:cs="宋体"/>
          <w:bCs/>
          <w:kern w:val="0"/>
          <w:szCs w:val="21"/>
          <w:highlight w:val="none"/>
        </w:rPr>
        <w:t>，</w:t>
      </w:r>
      <w:r>
        <w:rPr>
          <w:rFonts w:hint="eastAsia" w:ascii="宋体" w:hAnsi="宋体" w:cs="宋体"/>
          <w:bCs/>
          <w:kern w:val="0"/>
          <w:szCs w:val="21"/>
          <w:highlight w:val="none"/>
          <w:lang w:eastAsia="zh-CN"/>
        </w:rPr>
        <w:t>营业执照无变更，</w:t>
      </w:r>
      <w:r>
        <w:rPr>
          <w:rFonts w:hint="eastAsia" w:ascii="宋体" w:hAnsi="宋体" w:cs="宋体"/>
          <w:b w:val="0"/>
          <w:bCs/>
          <w:kern w:val="0"/>
          <w:szCs w:val="21"/>
          <w:highlight w:val="none"/>
          <w:lang w:val="en-US" w:eastAsia="zh-CN"/>
        </w:rPr>
        <w:t>认证范围、</w:t>
      </w:r>
      <w:r>
        <w:rPr>
          <w:rFonts w:hint="eastAsia" w:ascii="宋体" w:hAnsi="宋体" w:cs="宋体"/>
          <w:bCs/>
          <w:kern w:val="0"/>
          <w:szCs w:val="21"/>
          <w:highlight w:val="none"/>
          <w:lang w:val="en-US" w:eastAsia="zh-CN"/>
        </w:rPr>
        <w:t>企业</w:t>
      </w:r>
      <w:r>
        <w:rPr>
          <w:rFonts w:hint="eastAsia" w:ascii="宋体" w:hAnsi="宋体" w:cs="宋体"/>
          <w:bCs/>
          <w:kern w:val="0"/>
          <w:szCs w:val="21"/>
          <w:highlight w:val="none"/>
        </w:rPr>
        <w:t>管理者代表、组织结构</w:t>
      </w:r>
      <w:r>
        <w:rPr>
          <w:rFonts w:hint="eastAsia" w:ascii="宋体" w:hAnsi="宋体" w:cs="宋体"/>
          <w:bCs/>
          <w:kern w:val="0"/>
          <w:szCs w:val="21"/>
          <w:highlight w:val="none"/>
          <w:lang w:eastAsia="zh-CN"/>
        </w:rPr>
        <w:t>等</w:t>
      </w:r>
      <w:r>
        <w:rPr>
          <w:rFonts w:hint="eastAsia" w:ascii="宋体" w:hAnsi="宋体" w:cs="宋体"/>
          <w:bCs/>
          <w:kern w:val="0"/>
          <w:szCs w:val="21"/>
          <w:highlight w:val="none"/>
        </w:rPr>
        <w:t>没有变化。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highlight w:val="none"/>
        </w:rPr>
        <w:t>9.标志的使用和（或）任何其他对认证资格引用</w:t>
      </w:r>
      <w:r>
        <w:rPr>
          <w:rFonts w:ascii="Times New Roman" w:hAnsi="Times New Roman" w:cs="Times New Roman"/>
          <w:b/>
          <w:bCs/>
          <w:kern w:val="0"/>
          <w:szCs w:val="21"/>
        </w:rPr>
        <w:t>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（1）公司对标志的使用，符合相关标准和规定；</w:t>
      </w:r>
    </w:p>
    <w:p>
      <w:pPr>
        <w:widowControl/>
        <w:spacing w:line="360" w:lineRule="auto"/>
        <w:ind w:firstLine="420" w:firstLineChars="200"/>
        <w:rPr>
          <w:rFonts w:hint="default"/>
          <w:bCs/>
          <w:szCs w:val="21"/>
          <w:lang w:val="en-US" w:eastAsia="zh-CN"/>
        </w:rPr>
      </w:pPr>
      <w:r>
        <w:rPr>
          <w:rFonts w:ascii="Times New Roman" w:hAnsi="Times New Roman" w:cs="Times New Roman"/>
          <w:bCs/>
          <w:kern w:val="0"/>
          <w:szCs w:val="21"/>
        </w:rPr>
        <w:t>（2）测量管理体系认证证书用于：</w:t>
      </w:r>
      <w:r>
        <w:rPr>
          <w:rFonts w:hint="eastAsia" w:ascii="宋体" w:hAnsi="宋体" w:cs="宋体"/>
          <w:bCs/>
          <w:kern w:val="0"/>
          <w:szCs w:val="21"/>
        </w:rPr>
        <w:t>企业用于</w:t>
      </w:r>
      <w:r>
        <w:rPr>
          <w:rFonts w:hint="eastAsia" w:ascii="宋体" w:hAnsi="宋体" w:cs="宋体"/>
          <w:bCs/>
          <w:kern w:val="0"/>
          <w:szCs w:val="21"/>
          <w:lang w:eastAsia="zh-CN"/>
        </w:rPr>
        <w:t>中国石油、中国石化、中海油</w:t>
      </w:r>
      <w:r>
        <w:rPr>
          <w:rFonts w:hint="eastAsia" w:ascii="宋体" w:hAnsi="宋体" w:cs="宋体"/>
          <w:bCs/>
          <w:kern w:val="0"/>
          <w:szCs w:val="21"/>
        </w:rPr>
        <w:t>标招投加分</w:t>
      </w:r>
      <w:r>
        <w:rPr>
          <w:rFonts w:hint="eastAsia" w:ascii="宋体" w:hAnsi="宋体" w:cs="宋体"/>
          <w:bCs/>
          <w:kern w:val="0"/>
          <w:szCs w:val="21"/>
          <w:lang w:eastAsia="zh-CN"/>
        </w:rPr>
        <w:t>等单位。</w:t>
      </w:r>
    </w:p>
    <w:p>
      <w:pPr>
        <w:widowControl/>
        <w:spacing w:line="360" w:lineRule="auto"/>
        <w:ind w:firstLine="630" w:firstLineChars="300"/>
        <w:rPr>
          <w:rFonts w:ascii="Times New Roman" w:hAnsi="Times New Roman" w:cs="Times New Roman"/>
          <w:bCs/>
          <w:kern w:val="0"/>
          <w:szCs w:val="21"/>
        </w:rPr>
      </w:pPr>
      <w:r>
        <w:rPr>
          <w:bCs/>
          <w:szCs w:val="21"/>
        </w:rPr>
        <w:t>客户二方审核及企业形象广告宣传。</w:t>
      </w:r>
    </w:p>
    <w:p>
      <w:pPr>
        <w:widowControl/>
        <w:spacing w:line="360" w:lineRule="auto"/>
        <w:ind w:firstLine="420" w:firstLineChars="200"/>
        <w:rPr>
          <w:rFonts w:ascii="Times New Roman" w:hAnsi="Times New Roman" w:cs="Times New Roman"/>
          <w:b/>
          <w:bCs/>
          <w:kern w:val="0"/>
          <w:szCs w:val="21"/>
        </w:rPr>
      </w:pPr>
      <w:r>
        <w:rPr>
          <w:rFonts w:ascii="Times New Roman" w:hAnsi="Times New Roman" w:cs="Times New Roman"/>
          <w:bCs/>
          <w:kern w:val="0"/>
          <w:szCs w:val="21"/>
        </w:rPr>
        <w:t>（3）企业进行招投标用。</w:t>
      </w:r>
    </w:p>
    <w:p>
      <w:pPr>
        <w:widowControl/>
        <w:spacing w:line="360" w:lineRule="auto"/>
        <w:rPr>
          <w:rFonts w:hint="eastAsia" w:ascii="宋体" w:hAnsi="宋体" w:cs="宋体"/>
          <w:bCs/>
          <w:kern w:val="0"/>
          <w:szCs w:val="21"/>
        </w:rPr>
      </w:pPr>
    </w:p>
    <w:p>
      <w:pPr>
        <w:widowControl/>
        <w:spacing w:line="360" w:lineRule="auto"/>
        <w:rPr>
          <w:rFonts w:hint="eastAsia" w:ascii="宋体" w:hAnsi="宋体" w:cs="宋体"/>
          <w:kern w:val="0"/>
          <w:szCs w:val="21"/>
        </w:rPr>
      </w:pPr>
      <w:r>
        <w:rPr>
          <w:rFonts w:ascii="宋体" w:hAnsi="宋体" w:cs="宋体"/>
          <w:bCs/>
          <w:kern w:val="0"/>
          <w:szCs w:val="21"/>
        </w:rPr>
        <w:t>10.</w:t>
      </w:r>
      <w:r>
        <w:rPr>
          <w:rFonts w:hint="eastAsia" w:ascii="宋体" w:hAnsi="宋体" w:cs="宋体"/>
          <w:kern w:val="0"/>
          <w:szCs w:val="21"/>
        </w:rPr>
        <w:t>本次审核发现一般不符合项1项，未发现严重的或系统性的不符合情况。</w:t>
      </w:r>
    </w:p>
    <w:p>
      <w:pPr>
        <w:spacing w:line="440" w:lineRule="exact"/>
        <w:jc w:val="left"/>
        <w:rPr>
          <w:rFonts w:hint="eastAsia" w:ascii="宋体" w:hAnsi="宋体" w:cs="宋体"/>
          <w:bCs/>
          <w:color w:val="auto"/>
          <w:kern w:val="0"/>
          <w:szCs w:val="21"/>
          <w:highlight w:val="none"/>
        </w:rPr>
      </w:pPr>
      <w:r>
        <w:rPr>
          <w:rFonts w:hint="eastAsia" w:ascii="宋体" w:hAnsi="宋体" w:cs="宋体"/>
          <w:kern w:val="0"/>
          <w:szCs w:val="21"/>
          <w:highlight w:val="none"/>
          <w:lang w:val="en-US" w:eastAsia="zh-CN"/>
        </w:rPr>
        <w:t>10.1</w:t>
      </w:r>
      <w:r>
        <w:rPr>
          <w:rFonts w:hint="eastAsia" w:ascii="宋体" w:hAnsi="宋体"/>
          <w:bCs/>
          <w:szCs w:val="21"/>
        </w:rPr>
        <w:t>生产部（锅炉房）新配置的编号为120101的气体探测器 ，2021年11月15日</w:t>
      </w:r>
      <w:r>
        <w:rPr>
          <w:rFonts w:hint="eastAsia" w:ascii="宋体" w:hAnsi="宋体"/>
          <w:bCs/>
          <w:szCs w:val="21"/>
          <w:lang w:eastAsia="zh-CN"/>
        </w:rPr>
        <w:t>校准</w:t>
      </w:r>
      <w:r>
        <w:rPr>
          <w:rFonts w:hint="eastAsia" w:ascii="宋体" w:hAnsi="宋体"/>
          <w:bCs/>
          <w:szCs w:val="21"/>
        </w:rPr>
        <w:t>， 但没</w:t>
      </w:r>
      <w:r>
        <w:rPr>
          <w:rFonts w:hint="eastAsia" w:ascii="宋体" w:hAnsi="宋体"/>
          <w:bCs/>
          <w:szCs w:val="21"/>
          <w:lang w:eastAsia="zh-CN"/>
        </w:rPr>
        <w:t>有进行计量验证直接安装使用</w:t>
      </w:r>
      <w:r>
        <w:rPr>
          <w:rFonts w:hint="eastAsia" w:ascii="宋体" w:hAnsi="宋体" w:eastAsia="宋体" w:cs="宋体"/>
          <w:kern w:val="0"/>
          <w:sz w:val="21"/>
          <w:szCs w:val="21"/>
          <w:lang w:eastAsia="zh-CN"/>
        </w:rPr>
        <w:t>。</w:t>
      </w:r>
      <w:r>
        <w:rPr>
          <w:rFonts w:hint="eastAsia" w:ascii="宋体" w:hAnsi="宋体"/>
          <w:szCs w:val="21"/>
          <w:highlight w:val="none"/>
        </w:rPr>
        <w:t>不满足标准GB/T 19022-2003</w:t>
      </w:r>
      <w:r>
        <w:rPr>
          <w:rFonts w:hint="eastAsia" w:ascii="宋体" w:hAnsi="宋体"/>
          <w:szCs w:val="21"/>
          <w:highlight w:val="none"/>
          <w:lang w:eastAsia="zh-CN"/>
        </w:rPr>
        <w:t>标准</w:t>
      </w:r>
      <w:r>
        <w:rPr>
          <w:rFonts w:hint="eastAsia" w:ascii="宋体" w:hAnsi="宋体"/>
          <w:szCs w:val="21"/>
          <w:highlight w:val="none"/>
          <w:lang w:val="en-US" w:eastAsia="zh-CN"/>
        </w:rPr>
        <w:t>7.1.1条款总则</w:t>
      </w:r>
      <w:r>
        <w:rPr>
          <w:rFonts w:hint="eastAsia" w:ascii="宋体" w:hAnsi="宋体"/>
          <w:szCs w:val="21"/>
          <w:highlight w:val="none"/>
          <w:lang w:eastAsia="zh-CN"/>
        </w:rPr>
        <w:t>的规定</w:t>
      </w:r>
      <w:r>
        <w:rPr>
          <w:rFonts w:hint="eastAsia" w:ascii="宋体" w:hAnsi="宋体"/>
          <w:szCs w:val="21"/>
          <w:highlight w:val="none"/>
        </w:rPr>
        <w:t>要求。</w:t>
      </w:r>
      <w:r>
        <w:rPr>
          <w:rFonts w:hint="eastAsia" w:ascii="宋体" w:hAnsi="宋体" w:cs="宋体"/>
          <w:bCs/>
          <w:color w:val="auto"/>
          <w:kern w:val="0"/>
          <w:szCs w:val="21"/>
          <w:highlight w:val="none"/>
        </w:rPr>
        <w:t>属于次要不符合项。</w:t>
      </w:r>
    </w:p>
    <w:p>
      <w:pPr>
        <w:spacing w:line="360" w:lineRule="auto"/>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line="360" w:lineRule="auto"/>
        <w:rPr>
          <w:rFonts w:hint="eastAsia" w:ascii="宋体" w:hAnsi="宋体" w:eastAsia="宋体" w:cs="宋体"/>
          <w:b w:val="0"/>
          <w:bCs/>
          <w:kern w:val="0"/>
          <w:szCs w:val="21"/>
          <w:highlight w:val="none"/>
          <w:lang w:eastAsia="zh-CN"/>
        </w:rPr>
      </w:pPr>
      <w:r>
        <w:rPr>
          <w:rFonts w:ascii="宋体" w:hAnsi="宋体" w:cs="宋体"/>
          <w:b w:val="0"/>
          <w:bCs/>
          <w:kern w:val="0"/>
          <w:szCs w:val="21"/>
          <w:highlight w:val="none"/>
        </w:rPr>
        <w:t>11</w:t>
      </w:r>
      <w:r>
        <w:rPr>
          <w:rFonts w:hint="eastAsia" w:ascii="宋体" w:hAnsi="宋体" w:cs="宋体"/>
          <w:b w:val="0"/>
          <w:bCs/>
          <w:kern w:val="0"/>
          <w:szCs w:val="21"/>
          <w:highlight w:val="none"/>
          <w:lang w:val="en-US" w:eastAsia="zh-CN"/>
        </w:rPr>
        <w:t>.</w:t>
      </w:r>
      <w:r>
        <w:rPr>
          <w:rFonts w:hint="eastAsia" w:ascii="宋体" w:hAnsi="宋体" w:cs="宋体"/>
          <w:b w:val="0"/>
          <w:bCs/>
          <w:kern w:val="0"/>
          <w:szCs w:val="21"/>
          <w:highlight w:val="none"/>
        </w:rPr>
        <w:t>本企业为非重点用能单位，</w:t>
      </w:r>
      <w:r>
        <w:rPr>
          <w:rFonts w:ascii="Times New Roman" w:hAnsi="Times New Roman" w:cs="Times New Roman"/>
          <w:b w:val="0"/>
          <w:bCs/>
          <w:kern w:val="0"/>
          <w:szCs w:val="21"/>
          <w:highlight w:val="none"/>
        </w:rPr>
        <w:t>能耗主要是生产用电</w:t>
      </w:r>
      <w:r>
        <w:rPr>
          <w:rFonts w:hint="eastAsia" w:ascii="Times New Roman" w:hAnsi="Times New Roman" w:cs="Times New Roman"/>
          <w:b w:val="0"/>
          <w:bCs/>
          <w:kern w:val="0"/>
          <w:szCs w:val="21"/>
          <w:highlight w:val="none"/>
          <w:lang w:eastAsia="zh-CN"/>
        </w:rPr>
        <w:t>、水，</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2021年1月至12月，</w:t>
      </w:r>
      <w:r>
        <w:rPr>
          <w:rFonts w:hint="eastAsia" w:ascii="宋体" w:hAnsi="宋体" w:cs="宋体"/>
          <w:b w:val="0"/>
          <w:bCs/>
          <w:kern w:val="0"/>
          <w:szCs w:val="21"/>
          <w:highlight w:val="none"/>
        </w:rPr>
        <w:t>耗能为</w:t>
      </w:r>
      <w:r>
        <w:rPr>
          <w:rFonts w:hint="eastAsia" w:ascii="宋体" w:hAnsi="宋体" w:cs="宋体"/>
          <w:b w:val="0"/>
          <w:bCs/>
          <w:kern w:val="0"/>
          <w:szCs w:val="21"/>
          <w:highlight w:val="none"/>
          <w:lang w:val="en-US" w:eastAsia="zh-CN"/>
        </w:rPr>
        <w:t>32.89</w:t>
      </w:r>
      <w:r>
        <w:rPr>
          <w:rFonts w:hint="eastAsia" w:ascii="宋体" w:hAnsi="宋体" w:cs="宋体"/>
          <w:b w:val="0"/>
          <w:bCs/>
          <w:kern w:val="0"/>
          <w:szCs w:val="21"/>
          <w:highlight w:val="none"/>
        </w:rPr>
        <w:t>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ascii="宋体" w:hAnsi="宋体"/>
          <w:b w:val="0"/>
          <w:bCs/>
          <w:szCs w:val="21"/>
          <w:highlight w:val="none"/>
        </w:rPr>
        <w:t>：</w:t>
      </w:r>
      <w:r>
        <w:rPr>
          <w:rFonts w:hint="eastAsia" w:ascii="宋体" w:hAnsi="宋体"/>
          <w:b w:val="0"/>
          <w:bCs/>
          <w:szCs w:val="21"/>
          <w:highlight w:val="none"/>
          <w:lang w:val="en-US" w:eastAsia="zh-CN"/>
        </w:rPr>
        <w:t>2.0</w:t>
      </w:r>
      <w:r>
        <w:rPr>
          <w:rFonts w:hint="eastAsia"/>
          <w:b w:val="0"/>
          <w:bCs/>
          <w:szCs w:val="21"/>
          <w:highlight w:val="none"/>
        </w:rPr>
        <w:t>级的三相</w:t>
      </w:r>
      <w:r>
        <w:rPr>
          <w:rFonts w:hint="eastAsia"/>
          <w:b w:val="0"/>
          <w:bCs/>
          <w:szCs w:val="21"/>
          <w:highlight w:val="none"/>
          <w:lang w:eastAsia="zh-CN"/>
        </w:rPr>
        <w:t>四</w:t>
      </w:r>
      <w:r>
        <w:rPr>
          <w:rFonts w:hint="eastAsia"/>
          <w:b w:val="0"/>
          <w:bCs/>
          <w:szCs w:val="21"/>
          <w:highlight w:val="none"/>
        </w:rPr>
        <w:t>线电能表</w:t>
      </w:r>
      <w:r>
        <w:rPr>
          <w:rFonts w:hint="eastAsia"/>
          <w:b w:val="0"/>
          <w:bCs/>
          <w:szCs w:val="21"/>
          <w:highlight w:val="none"/>
          <w:lang w:val="en-US" w:eastAsia="zh-CN"/>
        </w:rPr>
        <w:t>2块，</w:t>
      </w:r>
      <w:r>
        <w:rPr>
          <w:rFonts w:hint="eastAsia" w:ascii="宋体" w:hAnsi="宋体"/>
          <w:b w:val="0"/>
          <w:bCs/>
          <w:szCs w:val="21"/>
          <w:highlight w:val="none"/>
          <w:lang w:val="en-US" w:eastAsia="zh-CN"/>
        </w:rPr>
        <w:t>2.5</w:t>
      </w:r>
      <w:r>
        <w:rPr>
          <w:rFonts w:hint="eastAsia"/>
          <w:b w:val="0"/>
          <w:bCs/>
          <w:szCs w:val="21"/>
          <w:highlight w:val="none"/>
        </w:rPr>
        <w:t>级</w:t>
      </w:r>
      <w:r>
        <w:rPr>
          <w:rFonts w:hint="eastAsia"/>
          <w:b w:val="0"/>
          <w:bCs/>
          <w:szCs w:val="21"/>
          <w:highlight w:val="none"/>
          <w:lang w:eastAsia="zh-CN"/>
        </w:rPr>
        <w:t>水表</w:t>
      </w:r>
      <w:r>
        <w:rPr>
          <w:rFonts w:hint="eastAsia"/>
          <w:b w:val="0"/>
          <w:bCs/>
          <w:szCs w:val="21"/>
          <w:highlight w:val="none"/>
          <w:lang w:val="en-US" w:eastAsia="zh-CN"/>
        </w:rPr>
        <w:t>1块。</w:t>
      </w:r>
      <w:r>
        <w:rPr>
          <w:rFonts w:hint="eastAsia" w:ascii="宋体" w:hAnsi="宋体" w:eastAsia="宋体" w:cs="宋体"/>
          <w:b w:val="0"/>
          <w:bCs/>
          <w:kern w:val="0"/>
          <w:szCs w:val="21"/>
          <w:highlight w:val="none"/>
        </w:rPr>
        <w:t>满足GB17167标准4.3.8表4的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kern w:val="0"/>
          <w:szCs w:val="21"/>
          <w:highlight w:val="none"/>
          <w:lang w:eastAsia="zh-CN"/>
        </w:rPr>
        <w:t>。</w:t>
      </w:r>
    </w:p>
    <w:p>
      <w:pPr>
        <w:spacing w:before="240" w:after="240" w:line="360" w:lineRule="auto"/>
        <w:rPr>
          <w:rFonts w:ascii="宋体" w:cs="宋体"/>
          <w:b/>
          <w:bCs/>
          <w:kern w:val="0"/>
          <w:szCs w:val="21"/>
          <w:highlight w:val="none"/>
        </w:rPr>
      </w:pPr>
      <w:r>
        <w:rPr>
          <w:rFonts w:hint="eastAsia" w:ascii="宋体" w:hAnsi="宋体" w:cs="宋体"/>
          <w:b/>
          <w:bCs/>
          <w:kern w:val="0"/>
          <w:szCs w:val="21"/>
          <w:highlight w:val="none"/>
        </w:rPr>
        <w:t>二、监督审核结论意见</w:t>
      </w:r>
      <w:r>
        <w:rPr>
          <w:rFonts w:ascii="宋体" w:hAnsi="宋体" w:cs="宋体"/>
          <w:b/>
          <w:bCs/>
          <w:kern w:val="0"/>
          <w:szCs w:val="21"/>
          <w:highlight w:val="none"/>
        </w:rPr>
        <w:t>(</w:t>
      </w:r>
      <w:r>
        <w:rPr>
          <w:rFonts w:hint="eastAsia" w:ascii="宋体" w:hAnsi="宋体" w:cs="宋体"/>
          <w:b/>
          <w:bCs/>
          <w:kern w:val="0"/>
          <w:szCs w:val="21"/>
          <w:highlight w:val="none"/>
        </w:rPr>
        <w:t>含需要说明的事项</w:t>
      </w:r>
      <w:r>
        <w:rPr>
          <w:rFonts w:ascii="宋体" w:hAnsi="宋体" w:cs="宋体"/>
          <w:b/>
          <w:bCs/>
          <w:kern w:val="0"/>
          <w:szCs w:val="21"/>
          <w:highlight w:val="none"/>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22</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02</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23日</w:t>
      </w:r>
      <w:r>
        <w:rPr>
          <w:rFonts w:hint="eastAsia" w:ascii="宋体" w:hAnsi="宋体" w:cs="宋体"/>
          <w:bCs/>
          <w:color w:val="auto"/>
          <w:kern w:val="0"/>
          <w:szCs w:val="21"/>
        </w:rPr>
        <w:t>，对</w:t>
      </w:r>
      <w:r>
        <w:rPr>
          <w:rFonts w:hint="eastAsia" w:ascii="宋体" w:hAnsi="宋体"/>
          <w:color w:val="auto"/>
          <w:szCs w:val="21"/>
          <w:lang w:eastAsia="zh-CN"/>
        </w:rPr>
        <w:t>沈阳市中兴防爆电器总厂有限公司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w:t>
      </w:r>
      <w:r>
        <w:rPr>
          <w:rFonts w:hint="eastAsia" w:ascii="宋体" w:hAnsi="宋体" w:cs="宋体"/>
          <w:bCs/>
          <w:color w:val="auto"/>
          <w:kern w:val="0"/>
          <w:szCs w:val="21"/>
        </w:rPr>
        <w:t>现场监督审核，验证了公司在测量管理体系</w:t>
      </w:r>
      <w:r>
        <w:rPr>
          <w:rFonts w:hint="eastAsia" w:ascii="宋体" w:hAnsi="宋体" w:cs="宋体"/>
          <w:bCs/>
          <w:color w:val="auto"/>
          <w:kern w:val="0"/>
          <w:szCs w:val="21"/>
          <w:lang w:eastAsia="zh-CN"/>
        </w:rPr>
        <w:t>监督后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未增加关键</w:t>
      </w:r>
      <w:r>
        <w:rPr>
          <w:rFonts w:hint="eastAsia" w:ascii="宋体" w:hAnsi="宋体"/>
          <w:color w:val="auto"/>
          <w:szCs w:val="21"/>
        </w:rPr>
        <w:t>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沈阳市中兴防爆电器总厂有限公司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numPr>
          <w:ilvl w:val="0"/>
          <w:numId w:val="0"/>
        </w:numPr>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360" w:lineRule="auto"/>
        <w:rPr>
          <w:rFonts w:hint="default" w:ascii="宋体" w:cs="宋体"/>
          <w:b/>
          <w:bCs/>
          <w:kern w:val="0"/>
          <w:szCs w:val="21"/>
          <w:lang w:val="en-US"/>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ascii="宋体" w:hAnsi="宋体" w:cs="宋体"/>
          <w:b/>
          <w:bCs/>
          <w:kern w:val="0"/>
          <w:szCs w:val="21"/>
        </w:rPr>
        <w:t xml:space="preserve"> </w:t>
      </w:r>
      <w:r>
        <w:rPr>
          <w:rFonts w:hint="eastAsia" w:ascii="Times New Roman" w:hAnsi="Times New Roman" w:eastAsia="宋体" w:cs="Times New Roman"/>
          <w:b/>
          <w:bCs/>
          <w:sz w:val="21"/>
          <w:szCs w:val="21"/>
          <w:lang w:eastAsia="zh-CN"/>
        </w:rPr>
        <w:drawing>
          <wp:inline distT="0" distB="0" distL="114300" distR="114300">
            <wp:extent cx="534035" cy="283845"/>
            <wp:effectExtent l="0" t="0" r="18415" b="1905"/>
            <wp:docPr id="1"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c90f7b6220dcee5aa82fda5a7cf9"/>
                    <pic:cNvPicPr>
                      <a:picLocks noChangeAspect="1"/>
                    </pic:cNvPicPr>
                  </pic:nvPicPr>
                  <pic:blipFill>
                    <a:blip r:embed="rId6"/>
                    <a:srcRect l="12695" t="5128"/>
                    <a:stretch>
                      <a:fillRect/>
                    </a:stretch>
                  </pic:blipFill>
                  <pic:spPr>
                    <a:xfrm>
                      <a:off x="0" y="0"/>
                      <a:ext cx="534035" cy="283845"/>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2022.02.23</w:t>
      </w:r>
    </w:p>
    <w:p>
      <w:pPr>
        <w:widowControl/>
        <w:spacing w:line="360" w:lineRule="auto"/>
        <w:rPr>
          <w:rFonts w:hint="eastAsia" w:ascii="宋体" w:hAnsi="宋体" w:cs="宋体"/>
          <w:b/>
          <w:bCs/>
          <w:kern w:val="0"/>
          <w:szCs w:val="21"/>
        </w:rPr>
      </w:pPr>
    </w:p>
    <w:p>
      <w:pPr>
        <w:widowControl/>
        <w:spacing w:line="360" w:lineRule="auto"/>
        <w:rPr>
          <w:rFonts w:hint="default" w:ascii="宋体" w:eastAsia="宋体" w:cs="宋体"/>
          <w:b/>
          <w:bCs/>
          <w:kern w:val="0"/>
          <w:szCs w:val="21"/>
          <w:lang w:val="en-US" w:eastAsia="zh-CN"/>
        </w:rPr>
      </w:pPr>
      <w:r>
        <w:rPr>
          <w:rFonts w:ascii="宋体" w:hAnsi="宋体" w:eastAsia="宋体" w:cs="宋体"/>
          <w:b/>
          <w:bCs/>
          <w:color w:val="000000"/>
          <w:kern w:val="0"/>
          <w:szCs w:val="21"/>
        </w:rPr>
        <w:t>审核</w:t>
      </w:r>
      <w:r>
        <w:rPr>
          <w:rFonts w:hint="eastAsia" w:ascii="宋体" w:hAnsi="宋体" w:eastAsia="宋体" w:cs="宋体"/>
          <w:b/>
          <w:bCs/>
          <w:color w:val="000000"/>
          <w:kern w:val="0"/>
          <w:szCs w:val="21"/>
        </w:rPr>
        <w:t>组成员(</w:t>
      </w:r>
      <w:r>
        <w:rPr>
          <w:rFonts w:ascii="宋体" w:hAnsi="宋体" w:eastAsia="宋体" w:cs="宋体"/>
          <w:b/>
          <w:bCs/>
          <w:color w:val="000000"/>
          <w:kern w:val="0"/>
          <w:szCs w:val="21"/>
        </w:rPr>
        <w:t>签字</w:t>
      </w:r>
      <w:r>
        <w:rPr>
          <w:rFonts w:hint="eastAsia" w:ascii="宋体" w:hAnsi="宋体" w:eastAsia="宋体" w:cs="宋体"/>
          <w:b/>
          <w:bCs/>
          <w:color w:val="000000"/>
          <w:kern w:val="0"/>
          <w:szCs w:val="21"/>
        </w:rPr>
        <w:t>)</w:t>
      </w:r>
      <w:r>
        <w:rPr>
          <w:rFonts w:ascii="宋体" w:hAnsi="宋体" w:eastAsia="宋体" w:cs="宋体"/>
          <w:b/>
          <w:bCs/>
          <w:color w:val="000000"/>
          <w:kern w:val="0"/>
          <w:szCs w:val="21"/>
        </w:rPr>
        <w:t>：</w:t>
      </w:r>
      <w:r>
        <w:rPr>
          <w:rFonts w:hint="eastAsia" w:ascii="宋体" w:hAnsi="宋体" w:eastAsia="宋体" w:cs="宋体"/>
          <w:b/>
          <w:bCs/>
          <w:color w:val="000000"/>
          <w:kern w:val="0"/>
          <w:szCs w:val="21"/>
        </w:rPr>
        <w:t xml:space="preserve">    </w:t>
      </w:r>
      <w:r>
        <w:rPr>
          <w:rFonts w:hint="eastAsia" w:eastAsia="宋体"/>
          <w:b/>
          <w:bCs/>
          <w:color w:val="000000"/>
          <w:szCs w:val="21"/>
          <w:lang w:eastAsia="zh-CN"/>
        </w:rPr>
        <w:drawing>
          <wp:inline distT="0" distB="0" distL="114300" distR="114300">
            <wp:extent cx="569595" cy="367665"/>
            <wp:effectExtent l="0" t="0" r="1905" b="13335"/>
            <wp:docPr id="4" name="图片 1" descr="武秀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武秀云"/>
                    <pic:cNvPicPr>
                      <a:picLocks noChangeAspect="1"/>
                    </pic:cNvPicPr>
                  </pic:nvPicPr>
                  <pic:blipFill>
                    <a:blip r:embed="rId7"/>
                    <a:stretch>
                      <a:fillRect/>
                    </a:stretch>
                  </pic:blipFill>
                  <pic:spPr>
                    <a:xfrm>
                      <a:off x="0" y="0"/>
                      <a:ext cx="569595" cy="367665"/>
                    </a:xfrm>
                    <a:prstGeom prst="rect">
                      <a:avLst/>
                    </a:prstGeom>
                    <a:noFill/>
                    <a:ln>
                      <a:noFill/>
                    </a:ln>
                  </pic:spPr>
                </pic:pic>
              </a:graphicData>
            </a:graphic>
          </wp:inline>
        </w:drawing>
      </w:r>
      <w:r>
        <w:rPr>
          <w:rFonts w:hint="eastAsia" w:ascii="宋体" w:hAnsi="宋体" w:eastAsia="宋体" w:cs="宋体"/>
          <w:b/>
          <w:bCs/>
          <w:color w:val="000000"/>
          <w:kern w:val="0"/>
          <w:szCs w:val="21"/>
        </w:rPr>
        <w:t xml:space="preserve">              </w:t>
      </w:r>
      <w:r>
        <w:rPr>
          <w:rFonts w:hint="eastAsia" w:ascii="宋体" w:hAnsi="宋体" w:eastAsia="宋体" w:cs="宋体"/>
          <w:b/>
          <w:bCs/>
          <w:color w:val="000000"/>
          <w:kern w:val="0"/>
          <w:szCs w:val="21"/>
          <w:lang w:val="en-US" w:eastAsia="zh-CN"/>
        </w:rPr>
        <w:t xml:space="preserve">      </w:t>
      </w:r>
      <w:r>
        <w:rPr>
          <w:rFonts w:hint="eastAsia" w:ascii="宋体" w:hAnsi="宋体" w:eastAsia="宋体" w:cs="宋体"/>
          <w:b/>
          <w:bCs/>
          <w:color w:val="000000"/>
          <w:kern w:val="0"/>
          <w:szCs w:val="21"/>
        </w:rPr>
        <w:t xml:space="preserve"> </w:t>
      </w:r>
      <w:r>
        <w:rPr>
          <w:rFonts w:hint="eastAsia" w:ascii="宋体" w:hAnsi="宋体" w:eastAsia="宋体" w:cs="宋体"/>
          <w:b/>
          <w:bCs/>
          <w:color w:val="000000"/>
          <w:kern w:val="0"/>
          <w:szCs w:val="21"/>
          <w:lang w:val="en-US" w:eastAsia="zh-CN"/>
        </w:rPr>
        <w:t xml:space="preserve">     </w:t>
      </w:r>
      <w:r>
        <w:rPr>
          <w:rFonts w:ascii="宋体" w:hAnsi="宋体" w:eastAsia="宋体" w:cs="宋体"/>
          <w:b/>
          <w:bCs/>
          <w:color w:val="000000"/>
          <w:kern w:val="0"/>
          <w:szCs w:val="21"/>
        </w:rPr>
        <w:t>日</w:t>
      </w:r>
      <w:r>
        <w:rPr>
          <w:rFonts w:hint="eastAsia" w:ascii="宋体" w:hAnsi="宋体" w:eastAsia="宋体" w:cs="宋体"/>
          <w:b/>
          <w:bCs/>
          <w:color w:val="000000"/>
          <w:kern w:val="0"/>
          <w:szCs w:val="21"/>
        </w:rPr>
        <w:t xml:space="preserve"> </w:t>
      </w:r>
      <w:r>
        <w:rPr>
          <w:rFonts w:ascii="宋体" w:hAnsi="宋体" w:eastAsia="宋体" w:cs="宋体"/>
          <w:b/>
          <w:bCs/>
          <w:color w:val="000000"/>
          <w:kern w:val="0"/>
          <w:szCs w:val="21"/>
        </w:rPr>
        <w:t>期：</w:t>
      </w:r>
      <w:r>
        <w:rPr>
          <w:rFonts w:hint="eastAsia" w:ascii="宋体" w:hAnsi="宋体" w:eastAsia="宋体" w:cs="宋体"/>
          <w:b/>
          <w:bCs/>
          <w:color w:val="000000"/>
          <w:kern w:val="0"/>
          <w:szCs w:val="21"/>
        </w:rPr>
        <w:t xml:space="preserve"> </w:t>
      </w:r>
      <w:r>
        <w:rPr>
          <w:rFonts w:hint="eastAsia" w:ascii="宋体" w:hAnsi="宋体" w:cs="宋体"/>
          <w:b/>
          <w:bCs/>
          <w:kern w:val="0"/>
          <w:szCs w:val="21"/>
          <w:lang w:val="en-US" w:eastAsia="zh-CN"/>
        </w:rPr>
        <w:t>2022.02.23</w:t>
      </w:r>
    </w:p>
    <w:p>
      <w:pPr>
        <w:widowControl/>
        <w:spacing w:line="360" w:lineRule="auto"/>
        <w:rPr>
          <w:rFonts w:hint="eastAsia" w:ascii="宋体" w:hAnsi="宋体" w:cs="宋体"/>
          <w:b/>
          <w:bCs/>
          <w:kern w:val="0"/>
          <w:szCs w:val="21"/>
        </w:rPr>
      </w:pPr>
    </w:p>
    <w:p>
      <w:pPr>
        <w:widowControl/>
        <w:spacing w:line="360" w:lineRule="auto"/>
        <w:rPr>
          <w:rFonts w:hint="eastAsia" w:ascii="宋体" w:hAnsi="宋体" w:cs="宋体"/>
          <w:b/>
          <w:bCs/>
          <w:kern w:val="0"/>
          <w:szCs w:val="21"/>
        </w:rPr>
      </w:pPr>
    </w:p>
    <w:p>
      <w:pPr>
        <w:widowControl/>
        <w:spacing w:line="360" w:lineRule="auto"/>
        <w:rPr>
          <w:rFonts w:ascii="宋体" w:hAnsi="宋体" w:cs="宋体"/>
          <w:b/>
          <w:bCs/>
          <w:kern w:val="0"/>
          <w:szCs w:val="21"/>
        </w:rPr>
      </w:pPr>
      <w:r>
        <w:rPr>
          <w:rFonts w:hint="eastAsia" w:ascii="宋体" w:hAnsi="宋体" w:cs="宋体"/>
          <w:b/>
          <w:bCs/>
          <w:kern w:val="0"/>
          <w:szCs w:val="21"/>
        </w:rPr>
        <w:t>北京国标联合认证有限公司</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(盖章)                      </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 日期：</w:t>
      </w:r>
    </w:p>
    <w:p>
      <w:pPr>
        <w:widowControl/>
        <w:spacing w:line="360" w:lineRule="auto"/>
        <w:rPr>
          <w:rFonts w:ascii="宋体" w:hAnsi="宋体" w:eastAsia="宋体" w:cs="宋体"/>
          <w:kern w:val="0"/>
          <w:szCs w:val="28"/>
        </w:rPr>
      </w:pPr>
      <w:r>
        <w:rPr>
          <w:rFonts w:ascii="宋体" w:hAnsi="宋体" w:cs="宋体"/>
          <w:b/>
          <w:bCs/>
          <w:kern w:val="0"/>
          <w:szCs w:val="21"/>
        </w:rPr>
        <w:t xml:space="preserve"> </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3" w:name="OLE_LINK1"/>
    <w:r>
      <w:drawing>
        <wp:anchor distT="0" distB="0" distL="114300" distR="114300" simplePos="0" relativeHeight="251662336" behindDoc="0" locked="0" layoutInCell="1" allowOverlap="1">
          <wp:simplePos x="0" y="0"/>
          <wp:positionH relativeFrom="column">
            <wp:posOffset>-436245</wp:posOffset>
          </wp:positionH>
          <wp:positionV relativeFrom="paragraph">
            <wp:posOffset>90170</wp:posOffset>
          </wp:positionV>
          <wp:extent cx="481965" cy="485140"/>
          <wp:effectExtent l="0" t="0" r="13335" b="1016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60288;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1312;mso-width-relative:page;mso-height-relative:page;" coordsize="21600,21600">
          <v:path arrowok="t"/>
          <v:fill focussize="0,0"/>
          <v:stroke/>
          <v:imagedata o:title=""/>
          <o:lock v:ext="edit"/>
        </v:line>
      </w:pict>
    </w:r>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573CFB"/>
    <w:rsid w:val="006947B5"/>
    <w:rsid w:val="00D62FE0"/>
    <w:rsid w:val="00DB47DA"/>
    <w:rsid w:val="011662FE"/>
    <w:rsid w:val="019126B1"/>
    <w:rsid w:val="03B215BD"/>
    <w:rsid w:val="03E563DD"/>
    <w:rsid w:val="049D6929"/>
    <w:rsid w:val="05FD5174"/>
    <w:rsid w:val="07A22038"/>
    <w:rsid w:val="07F6331D"/>
    <w:rsid w:val="081433FF"/>
    <w:rsid w:val="0866484A"/>
    <w:rsid w:val="08AF38B7"/>
    <w:rsid w:val="08C9577B"/>
    <w:rsid w:val="09851FB9"/>
    <w:rsid w:val="0CC1767E"/>
    <w:rsid w:val="0DE1402D"/>
    <w:rsid w:val="0E594764"/>
    <w:rsid w:val="0E5F6936"/>
    <w:rsid w:val="1051458B"/>
    <w:rsid w:val="10FC7F7C"/>
    <w:rsid w:val="11261FFC"/>
    <w:rsid w:val="12730AAA"/>
    <w:rsid w:val="145913C3"/>
    <w:rsid w:val="16010527"/>
    <w:rsid w:val="165F436C"/>
    <w:rsid w:val="18314892"/>
    <w:rsid w:val="18895737"/>
    <w:rsid w:val="1ACA15A5"/>
    <w:rsid w:val="1B701893"/>
    <w:rsid w:val="1D644926"/>
    <w:rsid w:val="1E0679E2"/>
    <w:rsid w:val="1E507DB8"/>
    <w:rsid w:val="1F30615A"/>
    <w:rsid w:val="1FB73513"/>
    <w:rsid w:val="20245D89"/>
    <w:rsid w:val="21C517C9"/>
    <w:rsid w:val="2253747B"/>
    <w:rsid w:val="228F589D"/>
    <w:rsid w:val="238D590A"/>
    <w:rsid w:val="23A02834"/>
    <w:rsid w:val="23E3439E"/>
    <w:rsid w:val="24FE70A9"/>
    <w:rsid w:val="259C7022"/>
    <w:rsid w:val="25FE255B"/>
    <w:rsid w:val="27816C16"/>
    <w:rsid w:val="27954974"/>
    <w:rsid w:val="299E6A98"/>
    <w:rsid w:val="2B030917"/>
    <w:rsid w:val="2C4F0E75"/>
    <w:rsid w:val="2E0B23F6"/>
    <w:rsid w:val="2E42048A"/>
    <w:rsid w:val="2E9535C2"/>
    <w:rsid w:val="2F3769D8"/>
    <w:rsid w:val="2F98679A"/>
    <w:rsid w:val="2FD947E2"/>
    <w:rsid w:val="313D2294"/>
    <w:rsid w:val="31647056"/>
    <w:rsid w:val="321A44F5"/>
    <w:rsid w:val="328D7A02"/>
    <w:rsid w:val="32A1519D"/>
    <w:rsid w:val="33E861D3"/>
    <w:rsid w:val="356A4FB1"/>
    <w:rsid w:val="363F5E2D"/>
    <w:rsid w:val="36BD22BD"/>
    <w:rsid w:val="38086043"/>
    <w:rsid w:val="382A5B08"/>
    <w:rsid w:val="3868400B"/>
    <w:rsid w:val="38880CD0"/>
    <w:rsid w:val="39571FC5"/>
    <w:rsid w:val="39EA584B"/>
    <w:rsid w:val="3AA660B4"/>
    <w:rsid w:val="3B061D57"/>
    <w:rsid w:val="3BAF7989"/>
    <w:rsid w:val="3F903830"/>
    <w:rsid w:val="408706D3"/>
    <w:rsid w:val="40A07680"/>
    <w:rsid w:val="44C42B5F"/>
    <w:rsid w:val="46184AD1"/>
    <w:rsid w:val="46771B56"/>
    <w:rsid w:val="49F92A91"/>
    <w:rsid w:val="4A126716"/>
    <w:rsid w:val="4ABD7835"/>
    <w:rsid w:val="4B0712FD"/>
    <w:rsid w:val="4BD16FB0"/>
    <w:rsid w:val="4EC027DE"/>
    <w:rsid w:val="4F822A24"/>
    <w:rsid w:val="505F1232"/>
    <w:rsid w:val="50FA73B2"/>
    <w:rsid w:val="5133471D"/>
    <w:rsid w:val="52977792"/>
    <w:rsid w:val="52D06ACC"/>
    <w:rsid w:val="533D0BB1"/>
    <w:rsid w:val="53E204EF"/>
    <w:rsid w:val="53FD699A"/>
    <w:rsid w:val="548C10AE"/>
    <w:rsid w:val="553819D4"/>
    <w:rsid w:val="55846126"/>
    <w:rsid w:val="56A52AE7"/>
    <w:rsid w:val="56AF49FF"/>
    <w:rsid w:val="57961E25"/>
    <w:rsid w:val="57EE0A87"/>
    <w:rsid w:val="583773EE"/>
    <w:rsid w:val="589A1673"/>
    <w:rsid w:val="58FA7A57"/>
    <w:rsid w:val="5ACA30F8"/>
    <w:rsid w:val="5AD7341B"/>
    <w:rsid w:val="5B4471AA"/>
    <w:rsid w:val="5B625EC1"/>
    <w:rsid w:val="5BED2E50"/>
    <w:rsid w:val="5CC34A42"/>
    <w:rsid w:val="5D6E5D7B"/>
    <w:rsid w:val="5D8B40D4"/>
    <w:rsid w:val="5E541A14"/>
    <w:rsid w:val="5FEB3DF1"/>
    <w:rsid w:val="60A1694D"/>
    <w:rsid w:val="60AB0032"/>
    <w:rsid w:val="60EE17B6"/>
    <w:rsid w:val="60FF6850"/>
    <w:rsid w:val="612E2E61"/>
    <w:rsid w:val="61880FEB"/>
    <w:rsid w:val="618D05CE"/>
    <w:rsid w:val="63243021"/>
    <w:rsid w:val="63244996"/>
    <w:rsid w:val="64815E69"/>
    <w:rsid w:val="64882719"/>
    <w:rsid w:val="653A413B"/>
    <w:rsid w:val="65B354C1"/>
    <w:rsid w:val="66B707C5"/>
    <w:rsid w:val="66C76995"/>
    <w:rsid w:val="66DA4EE7"/>
    <w:rsid w:val="678058D7"/>
    <w:rsid w:val="69443018"/>
    <w:rsid w:val="695375A4"/>
    <w:rsid w:val="69DD4616"/>
    <w:rsid w:val="6A756F3B"/>
    <w:rsid w:val="6BC61023"/>
    <w:rsid w:val="6DB43658"/>
    <w:rsid w:val="6E4A2C41"/>
    <w:rsid w:val="6F03617D"/>
    <w:rsid w:val="6F843906"/>
    <w:rsid w:val="6FCB3BEE"/>
    <w:rsid w:val="70F168D6"/>
    <w:rsid w:val="716D6BC3"/>
    <w:rsid w:val="71A75E13"/>
    <w:rsid w:val="72FF0D20"/>
    <w:rsid w:val="741178B5"/>
    <w:rsid w:val="756C46F1"/>
    <w:rsid w:val="75C30245"/>
    <w:rsid w:val="778E4681"/>
    <w:rsid w:val="79880B95"/>
    <w:rsid w:val="7BC7517F"/>
    <w:rsid w:val="7BE74319"/>
    <w:rsid w:val="7E0A279A"/>
    <w:rsid w:val="7F383F79"/>
    <w:rsid w:val="7F485A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3</TotalTime>
  <ScaleCrop>false</ScaleCrop>
  <LinksUpToDate>false</LinksUpToDate>
  <CharactersWithSpaces>2163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2022-02-24T03:31:47Z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26855577654D4779AED556AE7C30A6C9</vt:lpwstr>
  </property>
</Properties>
</file>