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0090-2022-EnMs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晋州市谊诚纤维素有限公司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晋州市谊诚纤维素有限公司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河北省石家庄市晋州市经济开发区</w:t>
            </w:r>
            <w:bookmarkEnd w:id="6"/>
          </w:p>
        </w:tc>
        <w:tc>
          <w:tcPr>
            <w:tcW w:w="1242" w:type="dxa"/>
            <w:vMerge w:val="restart"/>
            <w:vAlign w:val="center"/>
          </w:tcPr>
          <w:p>
            <w:r>
              <w:rPr>
                <w:rFonts w:hint="eastAsia"/>
              </w:rPr>
              <w:t>邮编</w:t>
            </w:r>
          </w:p>
        </w:tc>
        <w:tc>
          <w:tcPr>
            <w:tcW w:w="1771" w:type="dxa"/>
          </w:tcPr>
          <w:p>
            <w:bookmarkStart w:id="7" w:name="注册邮编"/>
            <w:r>
              <w:t>052200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河北省石家庄市晋州市经济开发区</w:t>
            </w:r>
            <w:bookmarkEnd w:id="8"/>
          </w:p>
        </w:tc>
        <w:tc>
          <w:tcPr>
            <w:tcW w:w="1242" w:type="dxa"/>
            <w:vMerge w:val="continue"/>
            <w:vAlign w:val="center"/>
          </w:tcPr>
          <w:p/>
        </w:tc>
        <w:tc>
          <w:tcPr>
            <w:tcW w:w="1771" w:type="dxa"/>
          </w:tcPr>
          <w:p>
            <w:bookmarkStart w:id="9" w:name="办公邮编"/>
            <w:r>
              <w:t>052200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李丽红</w:t>
            </w:r>
            <w:bookmarkEnd w:id="10"/>
          </w:p>
        </w:tc>
        <w:tc>
          <w:tcPr>
            <w:tcW w:w="1313" w:type="dxa"/>
            <w:vAlign w:val="center"/>
          </w:tcPr>
          <w:p>
            <w:r>
              <w:rPr>
                <w:rFonts w:hint="eastAsia"/>
              </w:rPr>
              <w:t>电话.</w:t>
            </w:r>
          </w:p>
        </w:tc>
        <w:tc>
          <w:tcPr>
            <w:tcW w:w="2180" w:type="dxa"/>
            <w:vAlign w:val="center"/>
          </w:tcPr>
          <w:p>
            <w:bookmarkStart w:id="11" w:name="联系人电话"/>
            <w:r>
              <w:t>15030375289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王庆长</w:t>
            </w:r>
            <w:bookmarkEnd w:id="13"/>
          </w:p>
        </w:tc>
        <w:tc>
          <w:tcPr>
            <w:tcW w:w="1313" w:type="dxa"/>
            <w:vAlign w:val="center"/>
          </w:tcPr>
          <w:p>
            <w:r>
              <w:rPr>
                <w:rFonts w:hint="eastAsia"/>
              </w:rPr>
              <w:t>管理者代表</w:t>
            </w:r>
          </w:p>
        </w:tc>
        <w:tc>
          <w:tcPr>
            <w:tcW w:w="2180" w:type="dxa"/>
          </w:tcPr>
          <w:p>
            <w:bookmarkStart w:id="14" w:name="管理者代表"/>
            <w:r>
              <w:t>李丽红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cyan"/>
                <w:shd w:val="clear" w:fill="FFFFFF" w:themeFill="background1"/>
              </w:rPr>
              <w:t>（对多班次操作，已审核所有班次。审核相应地考虑了多班次操作，并且有代表性地审核了所有班次。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bookmarkStart w:id="15" w:name="GYLCT"/>
            <w:r>
              <w:rPr>
                <w:rFonts w:hint="eastAsia"/>
                <w:lang w:val="en-US" w:eastAsia="zh-CN"/>
              </w:rPr>
              <w:drawing>
                <wp:inline distT="0" distB="0" distL="114300" distR="114300">
                  <wp:extent cx="5207000" cy="3855085"/>
                  <wp:effectExtent l="0" t="0" r="0" b="5715"/>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6"/>
                          <a:stretch>
                            <a:fillRect/>
                          </a:stretch>
                        </pic:blipFill>
                        <pic:spPr>
                          <a:xfrm>
                            <a:off x="0" y="0"/>
                            <a:ext cx="5207000" cy="3855085"/>
                          </a:xfrm>
                          <a:prstGeom prst="rect">
                            <a:avLst/>
                          </a:prstGeom>
                          <a:noFill/>
                          <a:ln>
                            <a:noFill/>
                          </a:ln>
                        </pic:spPr>
                      </pic:pic>
                    </a:graphicData>
                  </a:graphic>
                </wp:inline>
              </w:drawing>
            </w:r>
            <w:bookmarkEnd w:id="15"/>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6" w:name="审核日期"/>
            <w:r>
              <w:rPr>
                <w:rFonts w:hint="eastAsia"/>
              </w:rPr>
              <w:t>2022年02月26日 上午至2022年03月02日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Add1"/>
            <w:r>
              <w:rPr>
                <w:rFonts w:hint="eastAsia"/>
              </w:rPr>
              <w:t>□</w:t>
            </w:r>
            <w:bookmarkEnd w:id="18"/>
            <w:r>
              <w:rPr>
                <w:rFonts w:hint="eastAsia"/>
              </w:rPr>
              <w:t>监督审核：评价组织管理体系的持续符合性和有效性，以确定是否推荐保持认证证书。</w:t>
            </w:r>
          </w:p>
          <w:p>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Times New Roman" w:hAnsi="Times New Roman" w:cs="Times New Roman"/>
              </w:rPr>
            </w:pPr>
            <w:r>
              <w:rPr>
                <w:rFonts w:hint="eastAsia"/>
                <w:lang w:val="de-DE"/>
              </w:rPr>
              <w:sym w:font="Wingdings 2" w:char="0052"/>
            </w:r>
            <w:r>
              <w:rPr>
                <w:rFonts w:hint="eastAsia" w:ascii="宋体" w:hAnsi="宋体"/>
                <w:b/>
                <w:sz w:val="21"/>
                <w:szCs w:val="21"/>
                <w:highlight w:val="none"/>
                <w:lang w:val="de-DE"/>
              </w:rPr>
              <w:t>R</w:t>
            </w:r>
            <w:r>
              <w:rPr>
                <w:rFonts w:hint="eastAsia" w:ascii="Times New Roman" w:hAnsi="Times New Roman" w:cs="Times New Roman"/>
                <w:highlight w:val="none"/>
                <w:lang w:val="de-DE"/>
              </w:rPr>
              <w:t>B</w:t>
            </w:r>
            <w:r>
              <w:rPr>
                <w:rFonts w:hint="eastAsia" w:ascii="Times New Roman" w:hAnsi="Times New Roman" w:cs="Times New Roman"/>
                <w:lang w:val="de-DE"/>
              </w:rPr>
              <w:t xml:space="preserve">/T </w:t>
            </w:r>
            <w:r>
              <w:rPr>
                <w:rFonts w:hint="eastAsia" w:ascii="Times New Roman" w:hAnsi="Times New Roman" w:cs="Times New Roman"/>
                <w:lang w:eastAsia="zh-CN"/>
              </w:rPr>
              <w:t>114-2014 《能源管理体系 纯碱、焦化、橡塑制品、制药等化工企业认证要求》</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5" w:name="初审Add1"/>
            <w:r>
              <w:rPr>
                <w:rFonts w:hint="eastAsia"/>
              </w:rPr>
              <w:t>■</w:t>
            </w:r>
            <w:bookmarkEnd w:id="25"/>
            <w:r>
              <w:rPr>
                <w:rFonts w:hint="eastAsia"/>
              </w:rPr>
              <w:t>初审二阶段</w:t>
            </w:r>
            <w:bookmarkStart w:id="26" w:name="监督勾选"/>
            <w:r>
              <w:rPr>
                <w:rFonts w:hint="eastAsia"/>
              </w:rPr>
              <w:t>□</w:t>
            </w:r>
            <w:bookmarkEnd w:id="26"/>
            <w:r>
              <w:rPr>
                <w:rFonts w:hint="eastAsia"/>
              </w:rPr>
              <w:t>监督第</w:t>
            </w:r>
            <w:bookmarkStart w:id="27" w:name="监督次数"/>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河北省邢台市沙河县维也纳酒店（沙河玻璃城分店）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30" w:name="审核范围"/>
            <w:r>
              <w:t>建筑材料用羟丙基甲基纤维素的生产和服务过程所涉及的能源管理活动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1" w:name="专业代码"/>
            <w:r>
              <w:t>2.3</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81"/>
        <w:gridCol w:w="1940"/>
        <w:gridCol w:w="540"/>
        <w:gridCol w:w="2250"/>
        <w:gridCol w:w="17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81" w:type="dxa"/>
            <w:shd w:val="clear" w:color="auto" w:fill="F3F3F3"/>
            <w:tcMar>
              <w:left w:w="57" w:type="dxa"/>
              <w:right w:w="57" w:type="dxa"/>
            </w:tcMar>
          </w:tcPr>
          <w:p>
            <w:r>
              <w:rPr>
                <w:rFonts w:hint="eastAsia"/>
              </w:rPr>
              <w:t>组织名称及注册场所地址</w:t>
            </w:r>
          </w:p>
        </w:tc>
        <w:tc>
          <w:tcPr>
            <w:tcW w:w="1940" w:type="dxa"/>
            <w:shd w:val="clear" w:color="auto" w:fill="F3F3F3"/>
            <w:tcMar>
              <w:left w:w="57" w:type="dxa"/>
              <w:right w:w="57" w:type="dxa"/>
            </w:tcMar>
          </w:tcPr>
          <w:p>
            <w:r>
              <w:rPr>
                <w:rFonts w:hint="eastAsia"/>
              </w:rPr>
              <w:t>经营场所的地址</w:t>
            </w:r>
          </w:p>
          <w:p>
            <w:r>
              <w:rPr>
                <w:rFonts w:hint="eastAsia"/>
              </w:rPr>
              <w:t>（多现场和临时现场）</w:t>
            </w:r>
          </w:p>
        </w:tc>
        <w:tc>
          <w:tcPr>
            <w:tcW w:w="540" w:type="dxa"/>
            <w:shd w:val="clear" w:color="auto" w:fill="F3F3F3"/>
            <w:tcMar>
              <w:left w:w="57" w:type="dxa"/>
              <w:right w:w="57" w:type="dxa"/>
            </w:tcMar>
          </w:tcPr>
          <w:p>
            <w:r>
              <w:rPr>
                <w:rFonts w:hint="eastAsia"/>
              </w:rPr>
              <w:t>员工人数</w:t>
            </w:r>
          </w:p>
        </w:tc>
        <w:tc>
          <w:tcPr>
            <w:tcW w:w="22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6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81" w:type="dxa"/>
          </w:tcPr>
          <w:p>
            <w:pPr>
              <w:rPr>
                <w:rFonts w:hint="eastAsia" w:eastAsia="宋体"/>
                <w:lang w:val="en-US" w:eastAsia="zh-CN"/>
              </w:rPr>
            </w:pPr>
            <w:r>
              <w:rPr>
                <w:sz w:val="21"/>
                <w:szCs w:val="21"/>
              </w:rPr>
              <w:t>晋州市谊诚纤维素有限公司</w:t>
            </w:r>
            <w:r>
              <w:rPr>
                <w:rFonts w:hint="eastAsia"/>
                <w:sz w:val="21"/>
                <w:szCs w:val="21"/>
                <w:lang w:val="en-US" w:eastAsia="zh-CN"/>
              </w:rPr>
              <w:t>/</w:t>
            </w:r>
            <w:r>
              <w:rPr>
                <w:rFonts w:asciiTheme="minorEastAsia" w:hAnsiTheme="minorEastAsia" w:eastAsiaTheme="minorEastAsia"/>
                <w:sz w:val="20"/>
              </w:rPr>
              <w:t>河北省石家庄市晋州市经济开发区</w:t>
            </w:r>
          </w:p>
        </w:tc>
        <w:tc>
          <w:tcPr>
            <w:tcW w:w="1940" w:type="dxa"/>
          </w:tcPr>
          <w:p>
            <w:pPr>
              <w:rPr>
                <w:lang w:val="de-DE" w:eastAsia="ja-JP"/>
              </w:rPr>
            </w:pPr>
            <w:r>
              <w:rPr>
                <w:rFonts w:asciiTheme="minorEastAsia" w:hAnsiTheme="minorEastAsia" w:eastAsiaTheme="minorEastAsia"/>
                <w:sz w:val="20"/>
              </w:rPr>
              <w:t>河北省石家庄市晋州市经济开发区</w:t>
            </w:r>
          </w:p>
        </w:tc>
        <w:tc>
          <w:tcPr>
            <w:tcW w:w="540" w:type="dxa"/>
            <w:vAlign w:val="center"/>
          </w:tcPr>
          <w:p>
            <w:pPr>
              <w:rPr>
                <w:rFonts w:hint="default" w:eastAsia="宋体"/>
                <w:lang w:val="en-US" w:eastAsia="zh-CN"/>
              </w:rPr>
            </w:pPr>
            <w:r>
              <w:rPr>
                <w:rFonts w:hint="eastAsia"/>
                <w:lang w:val="en-US" w:eastAsia="zh-CN"/>
              </w:rPr>
              <w:t>98</w:t>
            </w:r>
          </w:p>
        </w:tc>
        <w:tc>
          <w:tcPr>
            <w:tcW w:w="2250" w:type="dxa"/>
            <w:vAlign w:val="center"/>
          </w:tcPr>
          <w:p>
            <w:pPr>
              <w:rPr>
                <w:lang w:eastAsia="ja-JP"/>
              </w:rPr>
            </w:pPr>
            <w:r>
              <w:rPr>
                <w:rFonts w:cs="Times New Roman" w:asciiTheme="minorEastAsia" w:hAnsiTheme="minorEastAsia" w:eastAsiaTheme="minorEastAsia"/>
                <w:sz w:val="20"/>
              </w:rPr>
              <w:t>建筑材料用羟丙基甲基纤维素的生产和服务过程所涉及的能源管理活动</w:t>
            </w:r>
          </w:p>
        </w:tc>
        <w:tc>
          <w:tcPr>
            <w:tcW w:w="1766" w:type="dxa"/>
            <w:vAlign w:val="center"/>
          </w:tcPr>
          <w:p>
            <w:pPr>
              <w:rPr>
                <w:rFonts w:hint="eastAsia"/>
                <w:lang w:val="en-US" w:eastAsia="zh-CN"/>
              </w:rPr>
            </w:pPr>
            <w:r>
              <w:rPr>
                <w:rFonts w:hint="eastAsia"/>
                <w:lang w:val="en-US" w:eastAsia="zh-CN"/>
              </w:rPr>
              <w:t>GB/T23331-2020</w:t>
            </w:r>
          </w:p>
          <w:p>
            <w:pPr>
              <w:pStyle w:val="2"/>
              <w:rPr>
                <w:rFonts w:hint="default"/>
                <w:lang w:val="en-US" w:eastAsia="zh-CN"/>
              </w:rPr>
            </w:pPr>
            <w:r>
              <w:rPr>
                <w:rFonts w:hint="eastAsia"/>
                <w:lang w:val="en-US" w:eastAsia="zh-CN"/>
              </w:rPr>
              <w:t>RB/T114-2014</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81" w:type="dxa"/>
            <w:vAlign w:val="center"/>
          </w:tcPr>
          <w:p>
            <w:pPr>
              <w:rPr>
                <w:lang w:eastAsia="ja-JP"/>
              </w:rPr>
            </w:pPr>
          </w:p>
        </w:tc>
        <w:tc>
          <w:tcPr>
            <w:tcW w:w="1940" w:type="dxa"/>
            <w:vAlign w:val="center"/>
          </w:tcPr>
          <w:p>
            <w:pPr>
              <w:rPr>
                <w:lang w:eastAsia="ja-JP"/>
              </w:rPr>
            </w:pPr>
          </w:p>
        </w:tc>
        <w:tc>
          <w:tcPr>
            <w:tcW w:w="540" w:type="dxa"/>
            <w:vAlign w:val="center"/>
          </w:tcPr>
          <w:p>
            <w:pPr>
              <w:rPr>
                <w:lang w:eastAsia="ja-JP"/>
              </w:rPr>
            </w:pPr>
          </w:p>
        </w:tc>
        <w:tc>
          <w:tcPr>
            <w:tcW w:w="2250" w:type="dxa"/>
            <w:vAlign w:val="center"/>
          </w:tcPr>
          <w:p>
            <w:pPr>
              <w:rPr>
                <w:lang w:eastAsia="ja-JP"/>
              </w:rPr>
            </w:pPr>
          </w:p>
        </w:tc>
        <w:tc>
          <w:tcPr>
            <w:tcW w:w="17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81" w:type="dxa"/>
            <w:vAlign w:val="center"/>
          </w:tcPr>
          <w:p>
            <w:pPr>
              <w:rPr>
                <w:lang w:eastAsia="ja-JP"/>
              </w:rPr>
            </w:pPr>
          </w:p>
        </w:tc>
        <w:tc>
          <w:tcPr>
            <w:tcW w:w="1940" w:type="dxa"/>
            <w:vAlign w:val="center"/>
          </w:tcPr>
          <w:p>
            <w:pPr>
              <w:rPr>
                <w:lang w:eastAsia="ja-JP"/>
              </w:rPr>
            </w:pPr>
          </w:p>
        </w:tc>
        <w:tc>
          <w:tcPr>
            <w:tcW w:w="540" w:type="dxa"/>
            <w:vAlign w:val="center"/>
          </w:tcPr>
          <w:p>
            <w:pPr>
              <w:rPr>
                <w:lang w:eastAsia="ja-JP"/>
              </w:rPr>
            </w:pPr>
          </w:p>
        </w:tc>
        <w:tc>
          <w:tcPr>
            <w:tcW w:w="2250" w:type="dxa"/>
            <w:vAlign w:val="center"/>
          </w:tcPr>
          <w:p>
            <w:pPr>
              <w:rPr>
                <w:lang w:eastAsia="ja-JP"/>
              </w:rPr>
            </w:pPr>
          </w:p>
        </w:tc>
        <w:tc>
          <w:tcPr>
            <w:tcW w:w="17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81" w:type="dxa"/>
            <w:vAlign w:val="center"/>
          </w:tcPr>
          <w:p>
            <w:pPr>
              <w:rPr>
                <w:lang w:eastAsia="ja-JP"/>
              </w:rPr>
            </w:pPr>
          </w:p>
        </w:tc>
        <w:tc>
          <w:tcPr>
            <w:tcW w:w="1940" w:type="dxa"/>
            <w:vAlign w:val="center"/>
          </w:tcPr>
          <w:p>
            <w:pPr>
              <w:rPr>
                <w:lang w:eastAsia="ja-JP"/>
              </w:rPr>
            </w:pPr>
          </w:p>
        </w:tc>
        <w:tc>
          <w:tcPr>
            <w:tcW w:w="540" w:type="dxa"/>
            <w:vAlign w:val="center"/>
          </w:tcPr>
          <w:p>
            <w:pPr>
              <w:rPr>
                <w:lang w:eastAsia="ja-JP"/>
              </w:rPr>
            </w:pPr>
          </w:p>
        </w:tc>
        <w:tc>
          <w:tcPr>
            <w:tcW w:w="2250" w:type="dxa"/>
            <w:vAlign w:val="center"/>
          </w:tcPr>
          <w:p>
            <w:pPr>
              <w:rPr>
                <w:lang w:eastAsia="ja-JP"/>
              </w:rPr>
            </w:pPr>
          </w:p>
        </w:tc>
        <w:tc>
          <w:tcPr>
            <w:tcW w:w="176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81" w:type="dxa"/>
            <w:vAlign w:val="center"/>
          </w:tcPr>
          <w:p>
            <w:pPr>
              <w:rPr>
                <w:lang w:eastAsia="ja-JP"/>
              </w:rPr>
            </w:pPr>
          </w:p>
        </w:tc>
        <w:tc>
          <w:tcPr>
            <w:tcW w:w="1940" w:type="dxa"/>
            <w:vAlign w:val="center"/>
          </w:tcPr>
          <w:p>
            <w:pPr>
              <w:rPr>
                <w:lang w:eastAsia="ja-JP"/>
              </w:rPr>
            </w:pPr>
          </w:p>
        </w:tc>
        <w:tc>
          <w:tcPr>
            <w:tcW w:w="540" w:type="dxa"/>
            <w:vAlign w:val="center"/>
          </w:tcPr>
          <w:p>
            <w:pPr>
              <w:rPr>
                <w:lang w:eastAsia="ja-JP"/>
              </w:rPr>
            </w:pPr>
          </w:p>
        </w:tc>
        <w:tc>
          <w:tcPr>
            <w:tcW w:w="2250" w:type="dxa"/>
            <w:vAlign w:val="center"/>
          </w:tcPr>
          <w:p>
            <w:pPr>
              <w:rPr>
                <w:lang w:eastAsia="ja-JP"/>
              </w:rPr>
            </w:pPr>
          </w:p>
        </w:tc>
        <w:tc>
          <w:tcPr>
            <w:tcW w:w="176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0288" behindDoc="0" locked="0" layoutInCell="1" allowOverlap="1">
                  <wp:simplePos x="0" y="0"/>
                  <wp:positionH relativeFrom="column">
                    <wp:posOffset>132715</wp:posOffset>
                  </wp:positionH>
                  <wp:positionV relativeFrom="paragraph">
                    <wp:posOffset>73025</wp:posOffset>
                  </wp:positionV>
                  <wp:extent cx="1388110" cy="299085"/>
                  <wp:effectExtent l="0" t="0" r="0" b="508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1388110" cy="29908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cs="Times New Roman"/>
                <w:lang w:val="en-US" w:eastAsia="zh-CN"/>
              </w:rPr>
              <w:t>2022.3.2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A3"/>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w:t>
            </w:r>
            <w:r>
              <w:rPr>
                <w:rFonts w:hint="eastAsia"/>
              </w:rPr>
              <w:sym w:font="Wingdings 2" w:char="0052"/>
            </w:r>
            <w:r>
              <w:rPr>
                <w:rFonts w:hint="eastAsia"/>
              </w:rPr>
              <w:t>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52"/>
            </w:r>
            <w:r>
              <w:rPr>
                <w:rFonts w:hint="eastAsia"/>
              </w:rPr>
              <w:t>能效监测□设备维修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szCs w:val="21"/>
                <w:lang w:eastAsia="zh-CN"/>
              </w:rPr>
              <w:t>“</w:t>
            </w:r>
            <w:r>
              <w:rPr>
                <w:rFonts w:hint="eastAsia" w:ascii="Times New Roman" w:hAnsi="Times New Roman" w:cs="Times New Roman"/>
                <w:szCs w:val="21"/>
                <w:lang w:val="en-US" w:eastAsia="zh-CN"/>
              </w:rPr>
              <w:t>质量达标,  不断创新；环境安全， 营造和谐；遵守法规， 顾客满意；节约能源， 降本增效</w:t>
            </w:r>
            <w:r>
              <w:rPr>
                <w:rFonts w:hint="eastAsia"/>
                <w:szCs w:val="21"/>
                <w:lang w:eastAsia="zh-CN"/>
              </w:rPr>
              <w:t>”</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rPr>
              <w:sym w:font="Wingdings 2" w:char="0052"/>
            </w:r>
            <w:r>
              <w:rPr>
                <w:rFonts w:hint="eastAsia"/>
              </w:rPr>
              <w:t>能源管理团队</w:t>
            </w:r>
            <w:r>
              <w:rPr>
                <w:rFonts w:hint="eastAsia"/>
              </w:rPr>
              <w:sym w:font="Wingdings 2" w:char="0052"/>
            </w:r>
            <w:r>
              <w:rPr>
                <w:rFonts w:hint="eastAsia"/>
                <w:lang w:val="en-US" w:eastAsia="zh-CN"/>
              </w:rPr>
              <w:t>安全科</w:t>
            </w:r>
          </w:p>
          <w:p>
            <w:pPr>
              <w:shd w:val="clear" w:color="auto" w:fill="EBF1DE" w:themeFill="accent3" w:themeFillTint="32"/>
            </w:pPr>
            <w:r>
              <w:rPr>
                <w:rFonts w:hint="eastAsia"/>
              </w:rPr>
              <w:t>能源管理团队负责人（管理者代表）是——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402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pPr>
                  <w:r>
                    <w:rPr>
                      <w:rFonts w:hint="eastAsia"/>
                    </w:rPr>
                    <w:t>主要的风险或机遇描述</w:t>
                  </w:r>
                </w:p>
              </w:tc>
              <w:tc>
                <w:tcPr>
                  <w:tcW w:w="402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rPr>
                      <w:rFonts w:hint="default" w:eastAsia="宋体"/>
                      <w:lang w:val="en-US" w:eastAsia="zh-CN"/>
                    </w:rPr>
                  </w:pPr>
                  <w:r>
                    <w:rPr>
                      <w:rFonts w:hint="eastAsia"/>
                      <w:lang w:val="en-US" w:eastAsia="zh-CN"/>
                    </w:rPr>
                    <w:t>法律法规未识别未更新的风险</w:t>
                  </w:r>
                </w:p>
              </w:tc>
              <w:tc>
                <w:tcPr>
                  <w:tcW w:w="4025" w:type="dxa"/>
                </w:tcPr>
                <w:p>
                  <w:pPr>
                    <w:shd w:val="clear" w:color="auto" w:fill="EBF1DE" w:themeFill="accent3" w:themeFillTint="32"/>
                    <w:rPr>
                      <w:rFonts w:hint="default" w:eastAsia="宋体"/>
                      <w:lang w:val="en-US" w:eastAsia="zh-CN"/>
                    </w:rPr>
                  </w:pPr>
                  <w:r>
                    <w:rPr>
                      <w:rFonts w:hint="eastAsia"/>
                      <w:lang w:val="en-US" w:eastAsia="zh-CN"/>
                    </w:rPr>
                    <w:t>及时识别、更新，学习并应用在能源管理中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rPr>
                      <w:rFonts w:hint="default" w:eastAsia="宋体"/>
                      <w:lang w:val="en-US" w:eastAsia="zh-CN"/>
                    </w:rPr>
                  </w:pPr>
                  <w:r>
                    <w:rPr>
                      <w:rFonts w:hint="eastAsia"/>
                      <w:lang w:val="en-US" w:eastAsia="zh-CN"/>
                    </w:rPr>
                    <w:t>节能技术的应用</w:t>
                  </w:r>
                </w:p>
              </w:tc>
              <w:tc>
                <w:tcPr>
                  <w:tcW w:w="4025" w:type="dxa"/>
                </w:tcPr>
                <w:p>
                  <w:pPr>
                    <w:shd w:val="clear" w:color="auto" w:fill="EBF1DE" w:themeFill="accent3" w:themeFillTint="32"/>
                    <w:rPr>
                      <w:rFonts w:hint="default" w:eastAsia="宋体"/>
                      <w:lang w:val="en-US" w:eastAsia="zh-CN"/>
                    </w:rPr>
                  </w:pPr>
                  <w:r>
                    <w:rPr>
                      <w:rFonts w:hint="eastAsia"/>
                      <w:lang w:val="en-US" w:eastAsia="zh-CN"/>
                    </w:rPr>
                    <w:t>及时掌握市场节能新技术</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pPr>
                  <w:r>
                    <w:rPr>
                      <w:rFonts w:hint="eastAsia" w:ascii="Times New Roman" w:hAnsi="Times New Roman" w:eastAsia="宋体" w:cs="Times New Roman"/>
                      <w:kern w:val="2"/>
                      <w:sz w:val="21"/>
                      <w:szCs w:val="22"/>
                      <w:lang w:val="en-US" w:eastAsia="zh-CN" w:bidi="ar-SA"/>
                    </w:rPr>
                    <w:t>设备风险</w:t>
                  </w:r>
                </w:p>
              </w:tc>
              <w:tc>
                <w:tcPr>
                  <w:tcW w:w="4025" w:type="dxa"/>
                </w:tcPr>
                <w:p>
                  <w:pPr>
                    <w:shd w:val="clear" w:color="auto" w:fill="EBF1DE" w:themeFill="accent3" w:themeFillTint="32"/>
                    <w:rPr>
                      <w:rFonts w:hint="default" w:eastAsia="宋体"/>
                      <w:lang w:val="en-US" w:eastAsia="zh-CN"/>
                    </w:rPr>
                  </w:pPr>
                  <w:r>
                    <w:rPr>
                      <w:rFonts w:hint="eastAsia"/>
                      <w:lang w:val="en-US" w:eastAsia="zh-CN"/>
                    </w:rPr>
                    <w:t>加强设备管理、爱用高效低耗设备，加强设备能效测试</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pPr>
                  <w:r>
                    <w:rPr>
                      <w:rFonts w:hint="eastAsia" w:ascii="Times New Roman" w:hAnsi="Times New Roman" w:eastAsia="宋体" w:cs="Times New Roman"/>
                      <w:kern w:val="2"/>
                      <w:sz w:val="21"/>
                      <w:szCs w:val="22"/>
                      <w:lang w:val="en-US" w:eastAsia="zh-CN" w:bidi="ar-SA"/>
                    </w:rPr>
                    <w:t>采购风险</w:t>
                  </w:r>
                </w:p>
              </w:tc>
              <w:tc>
                <w:tcPr>
                  <w:tcW w:w="4025" w:type="dxa"/>
                </w:tcPr>
                <w:p>
                  <w:pPr>
                    <w:shd w:val="clear" w:color="auto" w:fill="EBF1DE" w:themeFill="accent3" w:themeFillTint="32"/>
                    <w:rPr>
                      <w:rFonts w:hint="default" w:eastAsia="宋体"/>
                      <w:lang w:val="en-US" w:eastAsia="zh-CN"/>
                    </w:rPr>
                  </w:pPr>
                  <w:r>
                    <w:rPr>
                      <w:rFonts w:hint="eastAsia"/>
                      <w:lang w:val="en-US" w:eastAsia="zh-CN"/>
                    </w:rPr>
                    <w:t>采购符合国家标准要求的用能设备，降低风险</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水电供应风险</w:t>
                  </w:r>
                </w:p>
              </w:tc>
              <w:tc>
                <w:tcPr>
                  <w:tcW w:w="4025" w:type="dxa"/>
                </w:tcPr>
                <w:p>
                  <w:pPr>
                    <w:shd w:val="clear" w:color="auto" w:fill="EBF1DE" w:themeFill="accent3" w:themeFillTint="32"/>
                    <w:rPr>
                      <w:rFonts w:hint="default" w:eastAsia="宋体"/>
                      <w:lang w:val="en-US" w:eastAsia="zh-CN"/>
                    </w:rPr>
                  </w:pPr>
                  <w:r>
                    <w:rPr>
                      <w:rFonts w:hint="eastAsia"/>
                      <w:lang w:val="en-US" w:eastAsia="zh-CN"/>
                    </w:rPr>
                    <w:t>与供方加氢沟通，及时联系，发生紧急情况其实启动应急预案</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pPr>
                    <w:shd w:val="clear" w:color="auto" w:fill="EBF1DE" w:themeFill="accent3" w:themeFillTint="32"/>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能源安全风险</w:t>
                  </w:r>
                </w:p>
              </w:tc>
              <w:tc>
                <w:tcPr>
                  <w:tcW w:w="4025" w:type="dxa"/>
                </w:tcPr>
                <w:p>
                  <w:pPr>
                    <w:shd w:val="clear" w:color="auto" w:fill="EBF1DE" w:themeFill="accent3" w:themeFillTint="32"/>
                    <w:rPr>
                      <w:rFonts w:hint="default" w:eastAsia="宋体"/>
                      <w:lang w:val="en-US" w:eastAsia="zh-CN"/>
                    </w:rPr>
                  </w:pPr>
                  <w:r>
                    <w:rPr>
                      <w:rFonts w:hint="eastAsia"/>
                      <w:lang w:val="en-US" w:eastAsia="zh-CN"/>
                    </w:rPr>
                    <w:t>了解国家能源形势，分析公司能源风险</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sym w:font="Wingdings 2" w:char="0052"/>
            </w:r>
            <w:r>
              <w:rPr>
                <w:rFonts w:hint="eastAsia"/>
              </w:rPr>
              <w:t>蒸汽</w:t>
            </w:r>
            <w:r>
              <w:rPr>
                <w:rFonts w:hint="eastAsia"/>
              </w:rPr>
              <w:sym w:font="Wingdings 2" w:char="0052"/>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w:t>
            </w:r>
            <w:r>
              <w:rPr>
                <w:rFonts w:hint="eastAsia"/>
              </w:rPr>
              <w:sym w:font="Wingdings 2" w:char="00A3"/>
            </w:r>
            <w:r>
              <w:rPr>
                <w:rFonts w:hint="eastAsia"/>
              </w:rPr>
              <w:t>单位产品蒸汽消耗</w:t>
            </w:r>
            <w:r>
              <w:rPr>
                <w:rFonts w:hint="eastAsia"/>
              </w:rPr>
              <w:sym w:font="Wingdings 2" w:char="0052"/>
            </w:r>
            <w:r>
              <w:rPr>
                <w:rFonts w:hint="eastAsia"/>
              </w:rPr>
              <w:t>单位产品燃料气消耗</w:t>
            </w:r>
            <w:r>
              <w:rPr>
                <w:rFonts w:hint="eastAsia"/>
              </w:rPr>
              <w:sym w:font="Wingdings 2" w:char="0052"/>
            </w:r>
            <w:r>
              <w:rPr>
                <w:rFonts w:hint="eastAsia"/>
              </w:rPr>
              <w:t>单位产品</w:t>
            </w:r>
            <w:r>
              <w:rPr>
                <w:rFonts w:hint="eastAsia"/>
                <w:lang w:val="en-US" w:eastAsia="zh-CN"/>
              </w:rPr>
              <w:t>电</w:t>
            </w:r>
            <w:r>
              <w:rPr>
                <w:rFonts w:hint="eastAsia"/>
              </w:rPr>
              <w:t>消耗</w:t>
            </w:r>
            <w:r>
              <w:rPr>
                <w:rFonts w:hint="eastAsia"/>
              </w:rPr>
              <w:sym w:font="Wingdings 2" w:char="00A3"/>
            </w:r>
            <w:r>
              <w:rPr>
                <w:rFonts w:hint="eastAsia"/>
              </w:rPr>
              <w:t>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eastAsia"/>
                <w:lang w:val="en-US" w:eastAsia="zh-CN"/>
              </w:rPr>
            </w:pPr>
            <w:r>
              <w:rPr>
                <w:rFonts w:hint="eastAsia"/>
              </w:rPr>
              <w:sym w:font="Wingdings 2" w:char="0052"/>
            </w:r>
            <w:r>
              <w:rPr>
                <w:rFonts w:hint="eastAsia"/>
              </w:rPr>
              <w:t>节能评估报告编号/日期：</w:t>
            </w:r>
            <w:r>
              <w:rPr>
                <w:rFonts w:hint="eastAsia"/>
                <w:lang w:val="en-US" w:eastAsia="zh-CN"/>
              </w:rPr>
              <w:t>z201216/2012年6月</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初始能源评审报告2022.1</w:t>
            </w:r>
          </w:p>
          <w:p>
            <w:pPr>
              <w:shd w:val="clear" w:color="auto" w:fill="EBF1DE" w:themeFill="accent3" w:themeFillTint="32"/>
              <w:rPr>
                <w:rFonts w:hint="eastAsia" w:eastAsia="宋体"/>
                <w:lang w:val="en-US" w:eastAsia="zh-CN"/>
              </w:rPr>
            </w:pPr>
            <w:r>
              <w:rPr>
                <w:rFonts w:hint="eastAsia"/>
              </w:rPr>
              <w:t>□节能项目验收报告编号/日期：</w:t>
            </w:r>
            <w:r>
              <w:rPr>
                <w:rFonts w:hint="eastAsia"/>
                <w:lang w:val="en-US" w:eastAsia="zh-CN"/>
              </w:rPr>
              <w:t>无</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893"/>
              <w:gridCol w:w="153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2021年</w:t>
                  </w:r>
                  <w:r>
                    <w:rPr>
                      <w:rFonts w:hint="eastAsia" w:ascii="宋体" w:hAnsi="宋体"/>
                      <w:lang w:eastAsia="zh-CN"/>
                    </w:rPr>
                    <w:t>）</w:t>
                  </w:r>
                </w:p>
              </w:tc>
              <w:tc>
                <w:tcPr>
                  <w:tcW w:w="289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53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837"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目标实际完成</w:t>
                  </w:r>
                  <w:r>
                    <w:rPr>
                      <w:rFonts w:hint="eastAsia" w:ascii="宋体" w:hAnsi="宋体"/>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综合能耗</w:t>
                  </w:r>
                  <w:r>
                    <w:rPr>
                      <w:rFonts w:hint="eastAsia" w:ascii="宋体" w:hAnsi="宋体"/>
                      <w:szCs w:val="21"/>
                      <w:lang w:val="en-US" w:eastAsia="zh-CN"/>
                    </w:rPr>
                    <w:t>3600 tce</w:t>
                  </w:r>
                </w:p>
              </w:tc>
              <w:tc>
                <w:tcPr>
                  <w:tcW w:w="2893"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加强节能管理，加强运行控制</w:t>
                  </w:r>
                </w:p>
              </w:tc>
              <w:tc>
                <w:tcPr>
                  <w:tcW w:w="153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生产技术部</w:t>
                  </w:r>
                </w:p>
              </w:tc>
              <w:tc>
                <w:tcPr>
                  <w:tcW w:w="1837"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szCs w:val="21"/>
                      <w:lang w:val="en-US" w:eastAsia="zh-CN"/>
                    </w:rPr>
                    <w:t>4539.88 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单位产品综合能耗330 kgce/t</w:t>
                  </w:r>
                </w:p>
              </w:tc>
              <w:tc>
                <w:tcPr>
                  <w:tcW w:w="2893" w:type="dxa"/>
                  <w:shd w:val="clear" w:color="auto" w:fill="auto"/>
                  <w:vAlign w:val="center"/>
                </w:tcPr>
                <w:p>
                  <w:pPr>
                    <w:shd w:val="clear" w:color="auto" w:fill="EBF1DE" w:themeFill="accent3" w:themeFillTint="32"/>
                    <w:rPr>
                      <w:rFonts w:ascii="宋体" w:hAnsi="宋体"/>
                    </w:rPr>
                  </w:pPr>
                  <w:r>
                    <w:rPr>
                      <w:rFonts w:hint="eastAsia"/>
                      <w:lang w:val="en-US" w:eastAsia="zh-CN"/>
                    </w:rPr>
                    <w:t>加强节能管理，加强运行控制</w:t>
                  </w:r>
                </w:p>
              </w:tc>
              <w:tc>
                <w:tcPr>
                  <w:tcW w:w="1530" w:type="dxa"/>
                  <w:shd w:val="clear" w:color="auto" w:fill="auto"/>
                  <w:vAlign w:val="center"/>
                </w:tcPr>
                <w:p>
                  <w:pPr>
                    <w:shd w:val="clear" w:color="auto" w:fill="EBF1DE" w:themeFill="accent3" w:themeFillTint="32"/>
                    <w:rPr>
                      <w:rFonts w:ascii="宋体" w:hAnsi="宋体"/>
                    </w:rPr>
                  </w:pPr>
                  <w:r>
                    <w:rPr>
                      <w:rFonts w:hint="eastAsia"/>
                      <w:lang w:val="en-US" w:eastAsia="zh-CN"/>
                    </w:rPr>
                    <w:t>生产技术部</w:t>
                  </w:r>
                </w:p>
              </w:tc>
              <w:tc>
                <w:tcPr>
                  <w:tcW w:w="1837" w:type="dxa"/>
                  <w:shd w:val="clear" w:color="auto" w:fill="auto"/>
                  <w:vAlign w:val="center"/>
                </w:tcPr>
                <w:p>
                  <w:pPr>
                    <w:shd w:val="clear" w:color="auto" w:fill="EBF1DE" w:themeFill="accent3" w:themeFillTint="32"/>
                    <w:jc w:val="center"/>
                    <w:rPr>
                      <w:rFonts w:ascii="宋体" w:hAnsi="宋体"/>
                    </w:rPr>
                  </w:pPr>
                  <w:r>
                    <w:rPr>
                      <w:rFonts w:hint="eastAsia" w:ascii="宋体" w:hAnsi="宋体"/>
                      <w:szCs w:val="21"/>
                      <w:highlight w:val="none"/>
                      <w:lang w:val="en-US" w:eastAsia="zh-CN"/>
                    </w:rPr>
                    <w:t xml:space="preserve">301.03 </w:t>
                  </w:r>
                  <w:r>
                    <w:rPr>
                      <w:rFonts w:hint="eastAsia"/>
                      <w:lang w:val="en-US" w:eastAsia="zh-CN"/>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2893" w:type="dxa"/>
                  <w:shd w:val="clear" w:color="auto" w:fill="auto"/>
                  <w:vAlign w:val="center"/>
                </w:tcPr>
                <w:p>
                  <w:pPr>
                    <w:shd w:val="clear" w:color="auto" w:fill="EBF1DE" w:themeFill="accent3" w:themeFillTint="32"/>
                    <w:rPr>
                      <w:rFonts w:ascii="宋体" w:hAnsi="宋体"/>
                    </w:rPr>
                  </w:pPr>
                </w:p>
              </w:tc>
              <w:tc>
                <w:tcPr>
                  <w:tcW w:w="1530" w:type="dxa"/>
                  <w:shd w:val="clear" w:color="auto" w:fill="auto"/>
                  <w:vAlign w:val="center"/>
                </w:tcPr>
                <w:p>
                  <w:pPr>
                    <w:shd w:val="clear" w:color="auto" w:fill="EBF1DE" w:themeFill="accent3" w:themeFillTint="32"/>
                    <w:rPr>
                      <w:rFonts w:ascii="宋体" w:hAnsi="宋体"/>
                    </w:rPr>
                  </w:pPr>
                </w:p>
              </w:tc>
              <w:tc>
                <w:tcPr>
                  <w:tcW w:w="1837"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2893" w:type="dxa"/>
                  <w:shd w:val="clear" w:color="auto" w:fill="auto"/>
                  <w:vAlign w:val="center"/>
                </w:tcPr>
                <w:p>
                  <w:pPr>
                    <w:shd w:val="clear" w:color="auto" w:fill="EBF1DE" w:themeFill="accent3" w:themeFillTint="32"/>
                    <w:rPr>
                      <w:rFonts w:ascii="宋体" w:hAnsi="宋体"/>
                    </w:rPr>
                  </w:pPr>
                </w:p>
              </w:tc>
              <w:tc>
                <w:tcPr>
                  <w:tcW w:w="1530" w:type="dxa"/>
                  <w:shd w:val="clear" w:color="auto" w:fill="auto"/>
                  <w:vAlign w:val="center"/>
                </w:tcPr>
                <w:p>
                  <w:pPr>
                    <w:shd w:val="clear" w:color="auto" w:fill="EBF1DE" w:themeFill="accent3" w:themeFillTint="32"/>
                    <w:rPr>
                      <w:rFonts w:ascii="宋体" w:hAnsi="宋体"/>
                    </w:rPr>
                  </w:pPr>
                </w:p>
              </w:tc>
              <w:tc>
                <w:tcPr>
                  <w:tcW w:w="1837"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2893" w:type="dxa"/>
                  <w:shd w:val="clear" w:color="auto" w:fill="auto"/>
                  <w:vAlign w:val="center"/>
                </w:tcPr>
                <w:p>
                  <w:pPr>
                    <w:shd w:val="clear" w:color="auto" w:fill="EBF1DE" w:themeFill="accent3" w:themeFillTint="32"/>
                    <w:rPr>
                      <w:rFonts w:ascii="宋体" w:hAnsi="宋体"/>
                    </w:rPr>
                  </w:pPr>
                </w:p>
              </w:tc>
              <w:tc>
                <w:tcPr>
                  <w:tcW w:w="1530" w:type="dxa"/>
                  <w:shd w:val="clear" w:color="auto" w:fill="auto"/>
                  <w:vAlign w:val="center"/>
                </w:tcPr>
                <w:p>
                  <w:pPr>
                    <w:shd w:val="clear" w:color="auto" w:fill="EBF1DE" w:themeFill="accent3" w:themeFillTint="32"/>
                    <w:rPr>
                      <w:rFonts w:ascii="宋体" w:hAnsi="宋体"/>
                    </w:rPr>
                  </w:pPr>
                </w:p>
              </w:tc>
              <w:tc>
                <w:tcPr>
                  <w:tcW w:w="1837"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t>□目标已实现</w:t>
            </w:r>
          </w:p>
          <w:p>
            <w:pPr>
              <w:shd w:val="clear" w:color="auto" w:fill="EBF1DE" w:themeFill="accent3" w:themeFillTint="32"/>
            </w:pPr>
            <w:r>
              <w:rPr>
                <w:rFonts w:hint="eastAsia"/>
              </w:rPr>
              <w:sym w:font="Wingdings 2" w:char="0052"/>
            </w:r>
            <w:r>
              <w:rPr>
                <w:rFonts w:hint="eastAsia"/>
                <w:lang w:val="en-US" w:eastAsia="zh-CN"/>
              </w:rPr>
              <w:t>部分</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13347.51</w:t>
            </w:r>
            <w:r>
              <w:rPr>
                <w:rFonts w:hint="eastAsia"/>
              </w:rPr>
              <w:t>平方米；生产车间</w:t>
            </w:r>
            <w:r>
              <w:rPr>
                <w:rFonts w:hint="eastAsia"/>
                <w:lang w:val="en-US" w:eastAsia="zh-CN"/>
              </w:rPr>
              <w:t>3</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cs="Times New Roman"/>
                <w:u w:val="single"/>
                <w:lang w:val="en-US" w:eastAsia="zh-CN"/>
              </w:rPr>
              <w:t>前粉1#~5#主机、强制循环泵、8#釜搅拌</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lang w:val="en-US" w:eastAsia="zh-CN"/>
              </w:rPr>
              <w:t>制冷机、空压机、锅炉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rFonts w:hint="default"/>
                <w:u w:val="single"/>
                <w:lang w:val="en-US"/>
              </w:rPr>
            </w:pPr>
            <w:r>
              <w:rPr>
                <w:rFonts w:hint="eastAsia"/>
              </w:rPr>
              <w:t>能源计量器具有：</w:t>
            </w:r>
            <w:r>
              <w:rPr>
                <w:rFonts w:hint="eastAsia"/>
                <w:u w:val="single"/>
                <w:lang w:val="en-US" w:eastAsia="zh-CN"/>
              </w:rPr>
              <w:t>天然气流量计</w:t>
            </w:r>
            <w:r>
              <w:rPr>
                <w:rFonts w:hint="eastAsia"/>
                <w:u w:val="single"/>
              </w:rPr>
              <w:t>（列举1~4种）</w:t>
            </w:r>
            <w:r>
              <w:rPr>
                <w:rFonts w:hint="eastAsia"/>
                <w:u w:val="single"/>
                <w:lang w:eastAsia="zh-CN"/>
              </w:rPr>
              <w:t>，</w:t>
            </w:r>
            <w:r>
              <w:rPr>
                <w:rFonts w:hint="eastAsia"/>
                <w:lang w:val="en-US" w:eastAsia="zh-CN"/>
              </w:rPr>
              <w:t>电表由电力局负责，新鲜水自取</w:t>
            </w:r>
            <w:bookmarkStart w:id="35" w:name="_GoBack"/>
            <w:bookmarkEnd w:id="35"/>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cs="Times New Roman"/>
                <w:lang w:eastAsia="zh-CN"/>
              </w:rPr>
              <w:sym w:font="Wingdings 2" w:char="0052"/>
            </w:r>
            <w:r>
              <w:rPr>
                <w:rFonts w:hint="eastAsia" w:ascii="Times New Roman" w:hAnsi="Times New Roman" w:cs="Times New Roman"/>
              </w:rPr>
              <w:t>操作规程</w:t>
            </w:r>
            <w:r>
              <w:rPr>
                <w:rFonts w:hint="eastAsia" w:ascii="Times New Roman" w:hAnsi="Times New Roman" w:cs="Times New Roman"/>
                <w:lang w:eastAsia="zh-CN"/>
              </w:rPr>
              <w:sym w:font="Wingdings 2" w:char="0052"/>
            </w:r>
            <w:r>
              <w:rPr>
                <w:rFonts w:hint="eastAsia" w:ascii="Times New Roman" w:hAnsi="Times New Roman" w:cs="Times New Roman"/>
              </w:rPr>
              <w:t>作业文件</w:t>
            </w:r>
            <w:r>
              <w:rPr>
                <w:rFonts w:hint="eastAsia" w:ascii="Times New Roman" w:hAnsi="Times New Roman" w:cs="Times New Roman"/>
                <w:lang w:eastAsia="zh-CN"/>
              </w:rPr>
              <w:sym w:font="Wingdings 2" w:char="0052"/>
            </w:r>
            <w:r>
              <w:rPr>
                <w:rFonts w:hint="eastAsia" w:ascii="Times New Roman" w:hAnsi="Times New Roman" w:cs="Times New Roman"/>
              </w:rPr>
              <w:t>工艺卡片</w:t>
            </w:r>
            <w:r>
              <w:rPr>
                <w:rFonts w:hint="eastAsia" w:ascii="Times New Roman" w:hAnsi="Times New Roman" w:cs="Times New Roman"/>
                <w:lang w:eastAsia="zh-CN"/>
              </w:rPr>
              <w:sym w:font="Wingdings 2" w:char="0052"/>
            </w:r>
            <w:r>
              <w:rPr>
                <w:rFonts w:hint="eastAsia" w:ascii="Times New Roman" w:hAnsi="Times New Roman" w:cs="Times New Roman"/>
              </w:rPr>
              <w:t>接收准则</w:t>
            </w:r>
            <w:r>
              <w:rPr>
                <w:rFonts w:hint="eastAsia" w:ascii="Times New Roman" w:hAnsi="Times New Roman" w:cs="Times New Roman"/>
                <w:lang w:eastAsia="zh-CN"/>
              </w:rPr>
              <w:sym w:font="Wingdings 2" w:char="0052"/>
            </w:r>
            <w:r>
              <w:rPr>
                <w:rFonts w:hint="eastAsia" w:ascii="Times New Roman" w:hAnsi="Times New Roman" w:cs="Times New Roman"/>
              </w:rPr>
              <w:t>工艺流程图</w:t>
            </w:r>
            <w:r>
              <w:rPr>
                <w:rFonts w:hint="eastAsia" w:ascii="Times New Roman" w:hAnsi="Times New Roman" w:cs="Times New Roman"/>
                <w:lang w:eastAsia="zh-CN"/>
              </w:rPr>
              <w:t>□</w:t>
            </w:r>
            <w:r>
              <w:rPr>
                <w:rFonts w:hint="eastAsia"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cs="Times New Roman"/>
                <w:u w:val="single"/>
              </w:rPr>
              <w:t>干燥设备技改，将原有的蒸汽锅炉干燥改为直燃式燃气热风炉</w:t>
            </w:r>
            <w:r>
              <w:rPr>
                <w:rFonts w:hint="eastAsia"/>
                <w:u w:val="single"/>
              </w:rPr>
              <w:t>（</w:t>
            </w:r>
            <w:r>
              <w:rPr>
                <w:rFonts w:hint="eastAsia"/>
              </w:rPr>
              <w:t>举1例）</w:t>
            </w:r>
          </w:p>
          <w:p>
            <w:pPr>
              <w:shd w:val="clear" w:color="auto" w:fill="EBF1DE" w:themeFill="accent3" w:themeFillTint="32"/>
            </w:pPr>
            <w:r>
              <w:rPr>
                <w:rFonts w:hint="eastAsia"/>
                <w:lang w:val="en-US" w:eastAsia="zh-CN"/>
              </w:rPr>
              <w:t>未</w:t>
            </w: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减少跑冒滴漏，逐步开展设备换热效率测试</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加强锅炉管理运行控制，提供运行效果</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加强主要耗能设备的能效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组织对生产和服务提供的有预期和非预期的更改进行必要的节能效果评审和制订控制措施，以确保持续地符合法规要求。</w:t>
            </w:r>
            <w:r>
              <w:rPr>
                <w:rFonts w:hint="eastAsia"/>
                <w:lang w:val="en-US" w:eastAsia="zh-CN"/>
              </w:rPr>
              <w:t>近两年无节能措施实施。</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lang w:val="en-US" w:eastAsia="zh-CN"/>
              </w:rPr>
              <w:t>无</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22</w:t>
            </w:r>
            <w:r>
              <w:rPr>
                <w:rFonts w:hint="eastAsia"/>
              </w:rPr>
              <w:t>日实施了能源管理体系内部审核，对能源管理体系的符合性和有效性进行了审核。内审发现的</w:t>
            </w:r>
            <w:r>
              <w:rPr>
                <w:rFonts w:hint="eastAsia"/>
                <w:lang w:val="en-US" w:eastAsia="zh-CN"/>
              </w:rPr>
              <w:t xml:space="preserve"> 1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2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7D1C38"/>
    <w:rsid w:val="39921CAA"/>
    <w:rsid w:val="60A33BA5"/>
    <w:rsid w:val="7F2322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2022-03-01T13:33:24Z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