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10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过程与活动、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涉及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受审核部门：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质量部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主管领导：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吴书华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陪同人员：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肖虎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before="120" w:line="36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审核员：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李俐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审核时间：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2022.6.26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微信视频、语音、群沟通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审核条款：EMS/OMS：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5.3、6.1.2、6.2、7.4、8.1、8.2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cs="新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组织的角色、职责和权限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新宋体"/>
                <w:szCs w:val="21"/>
              </w:rPr>
            </w:pPr>
          </w:p>
        </w:tc>
        <w:tc>
          <w:tcPr>
            <w:tcW w:w="960" w:type="dxa"/>
          </w:tcPr>
          <w:p>
            <w:pPr>
              <w:spacing w:line="360" w:lineRule="auto"/>
              <w:rPr>
                <w:rFonts w:hint="eastAsia" w:ascii="宋体" w:hAnsi="宋体" w:cs="新宋体"/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E</w:t>
            </w:r>
            <w:r>
              <w:rPr>
                <w:rFonts w:hint="eastAsia" w:ascii="宋体" w:hAnsi="宋体" w:cs="新宋体"/>
                <w:szCs w:val="21"/>
                <w:lang w:val="en-US" w:eastAsia="zh-CN"/>
              </w:rPr>
              <w:t>O:</w:t>
            </w:r>
            <w:r>
              <w:rPr>
                <w:rFonts w:hint="eastAsia" w:ascii="宋体" w:hAnsi="宋体" w:cs="新宋体"/>
                <w:szCs w:val="21"/>
              </w:rPr>
              <w:t>5.3；</w:t>
            </w:r>
          </w:p>
          <w:p>
            <w:pPr>
              <w:spacing w:line="360" w:lineRule="auto"/>
              <w:rPr>
                <w:rFonts w:ascii="宋体" w:hAnsi="宋体" w:cs="新宋体"/>
                <w:szCs w:val="21"/>
              </w:rPr>
            </w:pPr>
          </w:p>
        </w:tc>
        <w:tc>
          <w:tcPr>
            <w:tcW w:w="10004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查，</w:t>
            </w:r>
            <w:r>
              <w:rPr>
                <w:rFonts w:hint="eastAsia" w:ascii="宋体" w:hAnsi="宋体"/>
                <w:szCs w:val="21"/>
                <w:lang w:eastAsia="zh-CN"/>
              </w:rPr>
              <w:t>质量部</w:t>
            </w:r>
            <w:r>
              <w:rPr>
                <w:rFonts w:hint="eastAsia" w:ascii="宋体" w:hAnsi="宋体"/>
                <w:szCs w:val="21"/>
              </w:rPr>
              <w:t>的岗位职责和权限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/>
                <w:szCs w:val="21"/>
                <w:lang w:eastAsia="zh-CN"/>
              </w:rPr>
              <w:t>建立、实施和监督实施、改进质量管理体系、环境和职业健康安全管理体系。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组织制定质量目标、SHE目标并组织实施和落实责任制，以确保完成；组织实施内审、管理评审和接待外审并跟踪不合格项直至关闭；组织接待客户验厂并按客户要求完成整改。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 xml:space="preserve">…… 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质量部</w:t>
            </w:r>
            <w:r>
              <w:rPr>
                <w:rFonts w:hint="eastAsia" w:ascii="宋体" w:hAnsi="宋体"/>
                <w:szCs w:val="21"/>
              </w:rPr>
              <w:t>负责人对部门职责清楚。</w:t>
            </w:r>
          </w:p>
        </w:tc>
        <w:tc>
          <w:tcPr>
            <w:tcW w:w="158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pPr>
              <w:spacing w:line="360" w:lineRule="auto"/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目标及其实现的策划</w:t>
            </w:r>
          </w:p>
        </w:tc>
        <w:tc>
          <w:tcPr>
            <w:tcW w:w="960" w:type="dxa"/>
          </w:tcPr>
          <w:p>
            <w:pPr>
              <w:spacing w:line="360" w:lineRule="auto"/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E</w:t>
            </w:r>
            <w:r>
              <w:rPr>
                <w:rFonts w:hint="eastAsia" w:ascii="宋体" w:hAnsi="宋体" w:cs="新宋体"/>
                <w:szCs w:val="21"/>
                <w:lang w:val="en-US" w:eastAsia="zh-CN"/>
              </w:rPr>
              <w:t>O:</w:t>
            </w:r>
            <w:r>
              <w:rPr>
                <w:rFonts w:hint="eastAsia" w:ascii="宋体" w:hAnsi="宋体" w:cs="新宋体"/>
                <w:szCs w:val="21"/>
              </w:rPr>
              <w:t>6.2</w:t>
            </w:r>
          </w:p>
          <w:p>
            <w:pPr>
              <w:spacing w:line="360" w:lineRule="auto"/>
              <w:rPr>
                <w:rFonts w:ascii="宋体" w:hAnsi="宋体" w:cs="新宋体"/>
                <w:szCs w:val="21"/>
              </w:rPr>
            </w:pPr>
          </w:p>
        </w:tc>
        <w:tc>
          <w:tcPr>
            <w:tcW w:w="10004" w:type="dxa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Arial"/>
                <w:iCs/>
                <w:szCs w:val="21"/>
              </w:rPr>
              <w:t>查</w:t>
            </w:r>
            <w:r>
              <w:rPr>
                <w:rFonts w:hint="eastAsia" w:ascii="宋体" w:hAnsi="宋体" w:cs="Arial"/>
                <w:iCs/>
                <w:szCs w:val="21"/>
                <w:lang w:eastAsia="zh-CN"/>
              </w:rPr>
              <w:t>质量部</w:t>
            </w:r>
            <w:r>
              <w:rPr>
                <w:rFonts w:hint="eastAsia" w:ascii="宋体" w:hAnsi="宋体"/>
                <w:szCs w:val="21"/>
              </w:rPr>
              <w:t>环境目标：          考核情况（20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月-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2022年6</w:t>
            </w:r>
            <w:r>
              <w:rPr>
                <w:rFonts w:hint="eastAsia" w:ascii="宋体" w:hAnsi="宋体"/>
                <w:szCs w:val="21"/>
              </w:rPr>
              <w:t>月）</w:t>
            </w:r>
          </w:p>
          <w:p>
            <w:pPr>
              <w:spacing w:line="360" w:lineRule="auto"/>
              <w:rPr>
                <w:rFonts w:hint="default" w:ascii="宋体" w:hAnsi="宋体" w:eastAsia="宋体" w:cs="Arial"/>
                <w:iCs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iCs/>
                <w:szCs w:val="21"/>
              </w:rPr>
              <w:t>1、灭火器配置率100％</w:t>
            </w:r>
            <w:r>
              <w:rPr>
                <w:rFonts w:hint="eastAsia" w:ascii="宋体" w:hAnsi="宋体" w:cs="Arial"/>
                <w:iCs/>
                <w:szCs w:val="21"/>
                <w:lang w:val="en-US" w:eastAsia="zh-CN"/>
              </w:rPr>
              <w:t xml:space="preserve">          100%</w:t>
            </w:r>
          </w:p>
          <w:p>
            <w:pPr>
              <w:spacing w:line="360" w:lineRule="auto"/>
              <w:rPr>
                <w:rFonts w:hint="eastAsia" w:ascii="宋体" w:hAnsi="宋体" w:cs="Arial"/>
                <w:iCs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iCs/>
                <w:szCs w:val="21"/>
              </w:rPr>
              <w:t>2、固废100％分类进行处理</w:t>
            </w:r>
            <w:r>
              <w:rPr>
                <w:rFonts w:hint="eastAsia" w:ascii="宋体" w:hAnsi="宋体" w:cs="Arial"/>
                <w:iCs/>
                <w:szCs w:val="21"/>
                <w:lang w:val="en-US" w:eastAsia="zh-CN"/>
              </w:rPr>
              <w:t xml:space="preserve">      100%</w:t>
            </w:r>
          </w:p>
          <w:p>
            <w:pPr>
              <w:spacing w:line="360" w:lineRule="auto"/>
              <w:rPr>
                <w:rFonts w:hint="default" w:ascii="宋体" w:hAnsi="宋体" w:cs="Arial"/>
                <w:iCs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iCs/>
                <w:szCs w:val="21"/>
                <w:lang w:val="en-US" w:eastAsia="zh-CN"/>
              </w:rPr>
              <w:t>3、火灾事故发生率为零          0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Arial"/>
                <w:iCs/>
                <w:szCs w:val="21"/>
                <w:lang w:val="en-US" w:eastAsia="zh-CN"/>
              </w:rPr>
              <w:t>4、</w:t>
            </w:r>
            <w:r>
              <w:rPr>
                <w:rFonts w:hint="eastAsia" w:ascii="宋体" w:hAnsi="宋体" w:cs="Arial"/>
                <w:iCs/>
                <w:szCs w:val="21"/>
              </w:rPr>
              <w:t>安全事故发生率为零</w:t>
            </w:r>
            <w:r>
              <w:rPr>
                <w:rFonts w:hint="eastAsia" w:ascii="宋体" w:hAnsi="宋体" w:cs="Arial"/>
                <w:iCs/>
                <w:szCs w:val="21"/>
                <w:lang w:val="en-US" w:eastAsia="zh-CN"/>
              </w:rPr>
              <w:t xml:space="preserve">          0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查：</w:t>
            </w:r>
            <w:r>
              <w:rPr>
                <w:rFonts w:hint="eastAsia"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月-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2022年6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质量部</w:t>
            </w:r>
            <w:r>
              <w:rPr>
                <w:rFonts w:hint="eastAsia" w:ascii="宋体" w:hAnsi="宋体" w:cs="宋体"/>
                <w:szCs w:val="21"/>
              </w:rPr>
              <w:t>环境目标完成情况：均能达到要求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.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查，公司编制了环境目标管理实施方案：制定、执行管理制度或作业文件；加强监测和测量；培训与教育；应急响应。</w:t>
            </w:r>
          </w:p>
        </w:tc>
        <w:tc>
          <w:tcPr>
            <w:tcW w:w="158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环境因素</w:t>
            </w:r>
          </w:p>
        </w:tc>
        <w:tc>
          <w:tcPr>
            <w:tcW w:w="960" w:type="dxa"/>
          </w:tcPr>
          <w:p>
            <w:pPr>
              <w:spacing w:line="360" w:lineRule="auto"/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E</w:t>
            </w:r>
            <w:r>
              <w:rPr>
                <w:rFonts w:hint="eastAsia" w:ascii="宋体" w:hAnsi="宋体" w:cs="新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新宋体"/>
                <w:szCs w:val="21"/>
              </w:rPr>
              <w:t>.1.2</w:t>
            </w:r>
          </w:p>
        </w:tc>
        <w:tc>
          <w:tcPr>
            <w:tcW w:w="10004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查，依据</w:t>
            </w:r>
            <w:r>
              <w:rPr>
                <w:rFonts w:hint="eastAsia" w:ascii="宋体" w:hAnsi="宋体" w:cs="宋体"/>
                <w:szCs w:val="21"/>
              </w:rPr>
              <w:t>《</w:t>
            </w:r>
            <w:r>
              <w:rPr>
                <w:rFonts w:hint="eastAsia" w:ascii="宋体" w:hAnsi="宋体" w:cs="宋体"/>
                <w:szCs w:val="21"/>
                <w:lang w:val="zh-CN"/>
              </w:rPr>
              <w:t>环境因素识别与评价控制程序</w:t>
            </w:r>
            <w:r>
              <w:rPr>
                <w:rFonts w:hint="eastAsia" w:ascii="宋体" w:hAnsi="宋体" w:cs="宋体"/>
                <w:szCs w:val="21"/>
              </w:rPr>
              <w:t>》</w:t>
            </w:r>
            <w:r>
              <w:rPr>
                <w:rFonts w:hint="eastAsia" w:ascii="宋体" w:cs="宋体"/>
                <w:szCs w:val="21"/>
              </w:rPr>
              <w:t>，根据不同的时态、状态识别了环境因素，通过对其发生的可能性、危害性等进行评价，</w:t>
            </w:r>
            <w:r>
              <w:rPr>
                <w:rFonts w:hint="eastAsia" w:ascii="宋体" w:cs="宋体"/>
                <w:szCs w:val="21"/>
                <w:lang w:eastAsia="zh-CN"/>
              </w:rPr>
              <w:t>质量部</w:t>
            </w:r>
            <w:r>
              <w:rPr>
                <w:rFonts w:hint="eastAsia" w:ascii="宋体" w:cs="宋体"/>
                <w:szCs w:val="21"/>
              </w:rPr>
              <w:t>确定的重要环境因素有：1）潜在火灾；2）固废的排放。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420" w:firstLineChars="2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现场查看，部门的主要工作为石墨烯导电复合加热膜的设计、生产和销售</w:t>
            </w:r>
            <w:r>
              <w:rPr>
                <w:rFonts w:hint="eastAsia" w:ascii="宋体" w:cs="宋体"/>
                <w:szCs w:val="21"/>
                <w:lang w:val="en-US" w:eastAsia="zh-CN"/>
              </w:rPr>
              <w:t>的质量控制</w:t>
            </w:r>
            <w:r>
              <w:rPr>
                <w:rFonts w:hint="eastAsia" w:ascii="宋体" w:cs="宋体"/>
                <w:szCs w:val="21"/>
              </w:rPr>
              <w:t>；</w:t>
            </w:r>
            <w:r>
              <w:rPr>
                <w:rFonts w:hint="eastAsia" w:ascii="宋体" w:cs="宋体"/>
                <w:szCs w:val="21"/>
                <w:lang w:val="en-US" w:eastAsia="zh-CN"/>
              </w:rPr>
              <w:t>质量控制</w:t>
            </w:r>
            <w:r>
              <w:rPr>
                <w:rFonts w:hint="eastAsia" w:ascii="宋体" w:cs="宋体"/>
                <w:szCs w:val="21"/>
              </w:rPr>
              <w:t>过程中有</w:t>
            </w:r>
            <w:r>
              <w:rPr>
                <w:rFonts w:hint="eastAsia" w:cs="宋体"/>
                <w:szCs w:val="21"/>
              </w:rPr>
              <w:t>办公固废、辅料、包装箱、包装袋/桶等固废，</w:t>
            </w:r>
            <w:r>
              <w:rPr>
                <w:rFonts w:hint="eastAsia" w:ascii="宋体" w:cs="宋体"/>
                <w:szCs w:val="21"/>
              </w:rPr>
              <w:t>部门的环境因素识别和重要环境因素基本到位。</w:t>
            </w:r>
          </w:p>
        </w:tc>
        <w:tc>
          <w:tcPr>
            <w:tcW w:w="158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vAlign w:val="top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危险源识别、评价与控制措施</w:t>
            </w:r>
          </w:p>
        </w:tc>
        <w:tc>
          <w:tcPr>
            <w:tcW w:w="960" w:type="dxa"/>
            <w:vAlign w:val="top"/>
          </w:tcPr>
          <w:p>
            <w:pPr>
              <w:spacing w:line="360" w:lineRule="auto"/>
              <w:rPr>
                <w:rFonts w:hint="eastAsia"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  <w:lang w:val="en-US" w:eastAsia="zh-CN"/>
              </w:rPr>
              <w:t xml:space="preserve">O </w:t>
            </w:r>
            <w:r>
              <w:rPr>
                <w:rFonts w:hint="eastAsia" w:ascii="宋体" w:hAnsi="宋体" w:cs="新宋体"/>
                <w:szCs w:val="21"/>
              </w:rPr>
              <w:t>6.1.2</w:t>
            </w:r>
          </w:p>
        </w:tc>
        <w:tc>
          <w:tcPr>
            <w:tcW w:w="10004" w:type="dxa"/>
            <w:vAlign w:val="top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查，</w:t>
            </w:r>
            <w:r>
              <w:rPr>
                <w:rFonts w:hint="eastAsia" w:ascii="宋体" w:cs="宋体"/>
                <w:szCs w:val="21"/>
                <w:lang w:eastAsia="zh-CN"/>
              </w:rPr>
              <w:t>质量部</w:t>
            </w:r>
            <w:r>
              <w:rPr>
                <w:rFonts w:hint="eastAsia" w:ascii="宋体" w:cs="宋体"/>
                <w:szCs w:val="21"/>
              </w:rPr>
              <w:t>经过辨识与评审形成了</w:t>
            </w:r>
            <w:r>
              <w:rPr>
                <w:rFonts w:hint="eastAsia" w:ascii="宋体" w:hAnsi="宋体" w:cs="宋体"/>
                <w:szCs w:val="21"/>
              </w:rPr>
              <w:t>《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危险源辨识与风险评价控制程序</w:t>
            </w:r>
            <w:r>
              <w:rPr>
                <w:rFonts w:hint="eastAsia" w:ascii="宋体" w:hAnsi="宋体" w:cs="宋体"/>
                <w:szCs w:val="21"/>
              </w:rPr>
              <w:t>》，包括</w:t>
            </w:r>
            <w:r>
              <w:rPr>
                <w:rFonts w:hint="eastAsia"/>
                <w:szCs w:val="21"/>
              </w:rPr>
              <w:t>办公设备线路损坏漏电引发触电伤人、吸烟引然纸张引发火灾</w:t>
            </w:r>
            <w:r>
              <w:rPr>
                <w:rFonts w:hint="eastAsia" w:ascii="宋体" w:hAnsi="宋体" w:cs="宋体"/>
                <w:szCs w:val="21"/>
              </w:rPr>
              <w:t>；高温天气下业务外出造成的的中暑、业务外出发生的交通事故等危险源。</w:t>
            </w: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查，风险控制措施有：  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相关方告知、定期检查线路；设立消防逃生通道、消防设备配备定期检查；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参与消防应急预案的制订及演练等。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危险源识别基本充分，控制措施需要完善。</w:t>
            </w:r>
          </w:p>
        </w:tc>
        <w:tc>
          <w:tcPr>
            <w:tcW w:w="158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160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cs="新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cs="新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沟通 </w:t>
            </w:r>
          </w:p>
        </w:tc>
        <w:tc>
          <w:tcPr>
            <w:tcW w:w="960" w:type="dxa"/>
          </w:tcPr>
          <w:p>
            <w:pPr>
              <w:spacing w:line="360" w:lineRule="auto"/>
              <w:rPr>
                <w:rFonts w:hint="eastAsia" w:ascii="宋体" w:hAnsi="宋体" w:cs="新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cs="新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E</w:t>
            </w:r>
            <w:r>
              <w:rPr>
                <w:rFonts w:hint="eastAsia" w:ascii="宋体" w:hAnsi="宋体" w:cs="新宋体"/>
                <w:szCs w:val="21"/>
                <w:lang w:val="en-US" w:eastAsia="zh-CN"/>
              </w:rPr>
              <w:t>O:</w:t>
            </w:r>
            <w:r>
              <w:rPr>
                <w:rFonts w:hint="eastAsia" w:ascii="宋体" w:hAnsi="宋体" w:cs="新宋体"/>
                <w:szCs w:val="21"/>
              </w:rPr>
              <w:t>7.4 </w:t>
            </w:r>
          </w:p>
          <w:p>
            <w:pPr>
              <w:spacing w:line="360" w:lineRule="auto"/>
              <w:rPr>
                <w:rFonts w:ascii="宋体" w:hAnsi="宋体" w:cs="新宋体"/>
                <w:szCs w:val="21"/>
              </w:rPr>
            </w:pPr>
          </w:p>
        </w:tc>
        <w:tc>
          <w:tcPr>
            <w:tcW w:w="10004" w:type="dxa"/>
          </w:tcPr>
          <w:p>
            <w:pPr>
              <w:pStyle w:val="9"/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---《</w:t>
            </w:r>
            <w:r>
              <w:rPr>
                <w:rFonts w:hint="eastAsia"/>
                <w:kern w:val="2"/>
                <w:sz w:val="21"/>
                <w:szCs w:val="21"/>
                <w:lang w:eastAsia="zh-CN"/>
              </w:rPr>
              <w:t>信息交流控制程序</w:t>
            </w:r>
            <w:r>
              <w:rPr>
                <w:rFonts w:hint="eastAsia"/>
                <w:kern w:val="2"/>
                <w:sz w:val="21"/>
                <w:szCs w:val="21"/>
              </w:rPr>
              <w:t>》</w:t>
            </w:r>
            <w:r>
              <w:rPr>
                <w:rFonts w:hint="eastAsia" w:cs="Arial"/>
                <w:kern w:val="2"/>
                <w:sz w:val="21"/>
                <w:szCs w:val="21"/>
              </w:rPr>
              <w:t>规定了公司内外信息交流、协商的对象、方式、记录等。</w:t>
            </w:r>
          </w:p>
          <w:p>
            <w:pPr>
              <w:pStyle w:val="9"/>
              <w:spacing w:line="360" w:lineRule="auto"/>
              <w:ind w:firstLine="420" w:firstLineChars="200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对部门之间有需要交流的有关环境、安全健康管理信息，在公司内部利用部门会议、宣传栏进行环境、安全管理方针及目标、指标、管理方案及环保法律法规等内容的宣传、沟通。</w:t>
            </w:r>
          </w:p>
          <w:p>
            <w:pPr>
              <w:pStyle w:val="9"/>
              <w:spacing w:line="360" w:lineRule="auto"/>
              <w:ind w:firstLine="315" w:firstLineChars="150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外部，对顾客等相关方进行了管理方针、产品使用环保要求的沟通，主要通过网络、交流及产品说明书、合同等方式进行，并达成一致性意见实施有效控制。</w:t>
            </w:r>
          </w:p>
          <w:p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查见内部交流主要通过直接面谈、会议、文件、培训方式；</w:t>
            </w:r>
          </w:p>
          <w:p>
            <w:pPr>
              <w:widowControl/>
              <w:spacing w:line="360" w:lineRule="auto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1）告知部门员工：环境管理者</w:t>
            </w:r>
            <w:r>
              <w:rPr>
                <w:rFonts w:hint="eastAsia" w:ascii="宋体" w:hAnsi="宋体" w:cs="Arial"/>
                <w:szCs w:val="21"/>
                <w:lang w:eastAsia="zh-CN"/>
              </w:rPr>
              <w:t>肖虎</w:t>
            </w:r>
            <w:r>
              <w:rPr>
                <w:rFonts w:hint="eastAsia" w:ascii="宋体" w:hAnsi="宋体" w:cs="Arial"/>
                <w:szCs w:val="21"/>
              </w:rPr>
              <w:t>和职业健康安全事务代表</w:t>
            </w:r>
            <w:r>
              <w:rPr>
                <w:rFonts w:hint="eastAsia" w:ascii="宋体" w:hAnsi="宋体" w:cs="Arial"/>
                <w:szCs w:val="21"/>
                <w:lang w:eastAsia="zh-CN"/>
              </w:rPr>
              <w:t>吉向东</w:t>
            </w:r>
            <w:r>
              <w:rPr>
                <w:rFonts w:hint="eastAsia" w:ascii="宋体" w:hAnsi="宋体" w:cs="Arial"/>
                <w:szCs w:val="21"/>
              </w:rPr>
              <w:t>。</w:t>
            </w:r>
          </w:p>
          <w:p>
            <w:pPr>
              <w:widowControl/>
              <w:spacing w:line="360" w:lineRule="auto"/>
              <w:ind w:firstLine="315" w:firstLineChars="15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2）告知部门员工：环境及职业健康安全管理体系建立的依据、标准和意义；</w:t>
            </w:r>
          </w:p>
          <w:p>
            <w:pPr>
              <w:widowControl/>
              <w:spacing w:line="360" w:lineRule="auto"/>
              <w:ind w:firstLine="315" w:firstLineChars="150"/>
              <w:rPr>
                <w:rFonts w:ascii="宋体" w:hAnsi="宋体" w:cs="Arial"/>
                <w:color w:val="FF0000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3）组织部门员工学习：与环境及安全健康管理有关的法律法规，包括《环境保护法》、《劳动合同法》、《工伤保险条例》、《职业病防治法》等关于员工权益、保险等内容；</w:t>
            </w:r>
          </w:p>
          <w:p>
            <w:pPr>
              <w:widowControl/>
              <w:spacing w:line="360" w:lineRule="auto"/>
              <w:ind w:firstLine="315" w:firstLineChars="150"/>
              <w:rPr>
                <w:rFonts w:ascii="宋体" w:hAnsi="宋体" w:cs="Arial"/>
                <w:color w:val="FF0000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4）将环境管理、劳动保护要求、安全要求和意义作为新员工岗前培训内容。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审核时未发现有客户投诉和环境安全违规情况发生。</w:t>
            </w:r>
          </w:p>
        </w:tc>
        <w:tc>
          <w:tcPr>
            <w:tcW w:w="158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4" w:hRule="atLeast"/>
        </w:trPr>
        <w:tc>
          <w:tcPr>
            <w:tcW w:w="2160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运行策划和控制</w:t>
            </w:r>
          </w:p>
        </w:tc>
        <w:tc>
          <w:tcPr>
            <w:tcW w:w="960" w:type="dxa"/>
          </w:tcPr>
          <w:p>
            <w:pPr>
              <w:spacing w:line="360" w:lineRule="auto"/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E</w:t>
            </w:r>
            <w:r>
              <w:rPr>
                <w:rFonts w:hint="eastAsia" w:ascii="宋体" w:hAnsi="宋体" w:cs="新宋体"/>
                <w:szCs w:val="21"/>
                <w:lang w:val="en-US" w:eastAsia="zh-CN"/>
              </w:rPr>
              <w:t>O:</w:t>
            </w:r>
            <w:r>
              <w:rPr>
                <w:rFonts w:hint="eastAsia" w:ascii="宋体" w:hAnsi="宋体" w:cs="新宋体"/>
                <w:szCs w:val="21"/>
              </w:rPr>
              <w:t>8.1 </w:t>
            </w:r>
          </w:p>
          <w:p>
            <w:pPr>
              <w:spacing w:line="360" w:lineRule="auto"/>
              <w:rPr>
                <w:rFonts w:ascii="宋体" w:hAnsi="宋体" w:cs="新宋体"/>
                <w:szCs w:val="21"/>
              </w:rPr>
            </w:pPr>
          </w:p>
        </w:tc>
        <w:tc>
          <w:tcPr>
            <w:tcW w:w="10004" w:type="dxa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查，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质量部</w:t>
            </w:r>
            <w:r>
              <w:rPr>
                <w:rFonts w:hint="eastAsia" w:ascii="宋体" w:hAnsi="宋体" w:cs="宋体"/>
                <w:szCs w:val="21"/>
              </w:rPr>
              <w:t>实施以下环境安全管理制度：《固体废弃物管理规定》《消防管理制度》、《安全检查制度》、《火灾事故应急救援预案》、《运行管理制度》等。</w:t>
            </w: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查不可接受风险源：</w:t>
            </w: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1）线路短路、吸烟引发火灾</w:t>
            </w: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查重要环境因素：潜在火灾；固废排放；</w:t>
            </w: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查看，公司制订的相应的安全管理制度及管理方案，对不可接受风险源进行管控。</w:t>
            </w: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据称：对火灾应急设施、安防设施运行情况等进行了检查维护。</w:t>
            </w: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查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质量部</w:t>
            </w:r>
            <w:r>
              <w:rPr>
                <w:rFonts w:hint="eastAsia" w:ascii="宋体" w:hAnsi="宋体" w:cs="宋体"/>
                <w:szCs w:val="21"/>
              </w:rPr>
              <w:t>办公区域环境和安全实施情况；</w:t>
            </w: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现场查看：现场未发现大功率电器使用。</w:t>
            </w: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现场查看：现场电线有穿管保护，固定布局、现场有禁止吸烟的提醒，办公设备均有接地保护。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查见办公区有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垃圾分类</w:t>
            </w:r>
            <w:r>
              <w:rPr>
                <w:rFonts w:hint="eastAsia" w:ascii="宋体" w:hAnsi="宋体" w:cs="宋体"/>
                <w:szCs w:val="21"/>
              </w:rPr>
              <w:t>桶，现场有处理的记录。</w:t>
            </w:r>
          </w:p>
        </w:tc>
        <w:tc>
          <w:tcPr>
            <w:tcW w:w="158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160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应急准备和响应</w:t>
            </w:r>
          </w:p>
        </w:tc>
        <w:tc>
          <w:tcPr>
            <w:tcW w:w="96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E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szCs w:val="21"/>
              </w:rPr>
              <w:t>8.2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004" w:type="dxa"/>
          </w:tcPr>
          <w:p>
            <w:pPr>
              <w:spacing w:line="360" w:lineRule="auto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查见：《应急准备与响应控制程序》、《消防火灾应急疏活动》</w:t>
            </w:r>
          </w:p>
          <w:p>
            <w:pPr>
              <w:spacing w:line="360" w:lineRule="auto"/>
              <w:rPr>
                <w:rFonts w:hint="eastAsia" w:ascii="Times New Roman" w:hAnsi="Times New Roman" w:cs="Times New Roman"/>
              </w:rPr>
            </w:pPr>
            <w:r>
              <w:rPr>
                <w:rFonts w:hint="eastAsia" w:cs="Times New Roman"/>
                <w:lang w:eastAsia="zh-CN"/>
              </w:rPr>
              <w:t>质量部</w:t>
            </w:r>
            <w:r>
              <w:rPr>
                <w:rFonts w:hint="eastAsia" w:ascii="Times New Roman" w:hAnsi="Times New Roman" w:cs="Times New Roman"/>
              </w:rPr>
              <w:t>人员在</w:t>
            </w:r>
            <w:r>
              <w:rPr>
                <w:rFonts w:hint="eastAsia" w:cs="Times New Roman"/>
                <w:lang w:val="en-US" w:eastAsia="zh-CN"/>
              </w:rPr>
              <w:t>综合管理部</w:t>
            </w:r>
            <w:r>
              <w:rPr>
                <w:rFonts w:hint="eastAsia" w:ascii="Times New Roman" w:hAnsi="Times New Roman" w:cs="Times New Roman"/>
              </w:rPr>
              <w:t>组织下，参加了公司组织的“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0"/>
                <w:lang w:val="en-US" w:eastAsia="zh-CN" w:bidi="ar-SA"/>
              </w:rPr>
              <w:t xml:space="preserve"> 《环境、安全应急预案培训》</w:t>
            </w:r>
            <w:r>
              <w:rPr>
                <w:rFonts w:hint="eastAsia" w:ascii="Times New Roman" w:hAnsi="Times New Roman" w:cs="Times New Roman"/>
              </w:rPr>
              <w:t>”。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2022年还未进行</w:t>
            </w:r>
            <w:r>
              <w:rPr>
                <w:rFonts w:hint="eastAsia"/>
              </w:rPr>
              <w:t>火灾消防演练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计划在2022年8月进行</w:t>
            </w:r>
            <w:r>
              <w:rPr>
                <w:rFonts w:hint="eastAsia"/>
              </w:rPr>
              <w:t>。</w:t>
            </w:r>
          </w:p>
          <w:p>
            <w:pPr>
              <w:spacing w:line="360" w:lineRule="auto"/>
              <w:rPr>
                <w:rFonts w:hint="eastAsia" w:ascii="Times New Roman" w:hAnsi="Times New Roman" w:cs="Times New Roman"/>
              </w:rPr>
            </w:pPr>
            <w:r>
              <w:rPr>
                <w:rFonts w:hint="eastAsia"/>
              </w:rPr>
              <w:t>应急准备：在公司办公区域，按要求配置灭火器。</w:t>
            </w:r>
          </w:p>
        </w:tc>
        <w:tc>
          <w:tcPr>
            <w:tcW w:w="158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</w:tbl>
    <w:p>
      <w:pPr>
        <w:pStyle w:val="7"/>
        <w:rPr>
          <w:rFonts w:hint="eastAsia"/>
        </w:rPr>
      </w:pPr>
      <w:r>
        <w:rPr>
          <w:rFonts w:hint="eastAsia"/>
        </w:rPr>
        <w:t>说明：不符合标注N</w:t>
      </w:r>
    </w:p>
    <w:p>
      <w:pPr>
        <w:rPr>
          <w:rFonts w:hint="eastAsia"/>
        </w:rPr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7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29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30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5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-140335</wp:posOffset>
          </wp:positionV>
          <wp:extent cx="485775" cy="485775"/>
          <wp:effectExtent l="0" t="0" r="9525" b="9525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5"/>
        <w:rFonts w:hint="default"/>
      </w:rPr>
      <w:t>北京国标联合认证有限公司</w:t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</w:p>
  <w:p>
    <w:pPr>
      <w:pStyle w:val="8"/>
      <w:pBdr>
        <w:bottom w:val="none" w:color="auto" w:sz="0" w:space="1"/>
      </w:pBdr>
      <w:spacing w:line="320" w:lineRule="exact"/>
      <w:jc w:val="left"/>
    </w:pPr>
    <w:r>
      <w:pict>
        <v:shape id="文本框 1" o:spid="_x0000_s1026" o:spt="202" type="#_x0000_t202" style="position:absolute;left:0pt;margin-left:554.75pt;margin-top:2.2pt;height:20.2pt;width:172pt;z-index:251659264;mso-width-relative:page;mso-height-relative:page;" stroked="f" coordsize="21600,21600" o:gfxdata="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h&#10;Bqrl1gAAAAoBAAAPAAAAAAAAAAEAIAAAACIAAABkcnMvZG93bnJldi54bWxQSwECFAAUAAAACACH&#10;TuJA9TGBsrQBAABAAwAADgAAAAAAAAABACAAAAAlAQAAZHJzL2Uyb0RvYy54bWxQSwUGAAAAAAYA&#10;BgBZAQAASw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  <w:p/>
            </w:txbxContent>
          </v:textbox>
        </v:shape>
      </w:pict>
    </w:r>
    <w:r>
      <w:rPr>
        <w:rStyle w:val="15"/>
        <w:rFonts w:hint="default"/>
        <w:w w:val="90"/>
      </w:rPr>
      <w:t>Beijing International Standard united Certification Co.,Ltd.</w:t>
    </w:r>
  </w:p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9973B4"/>
    <w:rsid w:val="000237F6"/>
    <w:rsid w:val="0003373A"/>
    <w:rsid w:val="000400E2"/>
    <w:rsid w:val="00044938"/>
    <w:rsid w:val="00060DB5"/>
    <w:rsid w:val="00062E46"/>
    <w:rsid w:val="000A117D"/>
    <w:rsid w:val="000D444F"/>
    <w:rsid w:val="000F7E9A"/>
    <w:rsid w:val="001051B2"/>
    <w:rsid w:val="0012230C"/>
    <w:rsid w:val="001252E4"/>
    <w:rsid w:val="00140BCF"/>
    <w:rsid w:val="001A2D7F"/>
    <w:rsid w:val="001B0609"/>
    <w:rsid w:val="001B0710"/>
    <w:rsid w:val="00220BCF"/>
    <w:rsid w:val="002939AD"/>
    <w:rsid w:val="002B49AE"/>
    <w:rsid w:val="002C77F4"/>
    <w:rsid w:val="002D3EA2"/>
    <w:rsid w:val="002F2C89"/>
    <w:rsid w:val="0030393B"/>
    <w:rsid w:val="00337922"/>
    <w:rsid w:val="00340867"/>
    <w:rsid w:val="00380837"/>
    <w:rsid w:val="003841C3"/>
    <w:rsid w:val="003A198A"/>
    <w:rsid w:val="003B547B"/>
    <w:rsid w:val="003F6DD5"/>
    <w:rsid w:val="003F71F5"/>
    <w:rsid w:val="003F7394"/>
    <w:rsid w:val="00410914"/>
    <w:rsid w:val="00431CC1"/>
    <w:rsid w:val="004A1359"/>
    <w:rsid w:val="004C780B"/>
    <w:rsid w:val="00536930"/>
    <w:rsid w:val="00564E53"/>
    <w:rsid w:val="005C787A"/>
    <w:rsid w:val="005D5659"/>
    <w:rsid w:val="00600C20"/>
    <w:rsid w:val="0062745C"/>
    <w:rsid w:val="00644FE2"/>
    <w:rsid w:val="00652A39"/>
    <w:rsid w:val="0067640C"/>
    <w:rsid w:val="006E678B"/>
    <w:rsid w:val="00712C5E"/>
    <w:rsid w:val="00730DFA"/>
    <w:rsid w:val="007365FC"/>
    <w:rsid w:val="007420B9"/>
    <w:rsid w:val="007757F3"/>
    <w:rsid w:val="00794C1B"/>
    <w:rsid w:val="007A7AAA"/>
    <w:rsid w:val="007E497A"/>
    <w:rsid w:val="007E6AEB"/>
    <w:rsid w:val="008876E7"/>
    <w:rsid w:val="008973EE"/>
    <w:rsid w:val="008B167A"/>
    <w:rsid w:val="00911C8F"/>
    <w:rsid w:val="00933DDF"/>
    <w:rsid w:val="00943FEA"/>
    <w:rsid w:val="00971600"/>
    <w:rsid w:val="009830CB"/>
    <w:rsid w:val="009973B4"/>
    <w:rsid w:val="009C28C1"/>
    <w:rsid w:val="009C5817"/>
    <w:rsid w:val="009F290E"/>
    <w:rsid w:val="009F7EED"/>
    <w:rsid w:val="00A80636"/>
    <w:rsid w:val="00AA0B51"/>
    <w:rsid w:val="00AD2614"/>
    <w:rsid w:val="00AF0AAB"/>
    <w:rsid w:val="00B124D6"/>
    <w:rsid w:val="00BF597E"/>
    <w:rsid w:val="00C2337D"/>
    <w:rsid w:val="00C51A36"/>
    <w:rsid w:val="00C55228"/>
    <w:rsid w:val="00CA5FEF"/>
    <w:rsid w:val="00CA7743"/>
    <w:rsid w:val="00CB00B0"/>
    <w:rsid w:val="00CB3AF9"/>
    <w:rsid w:val="00CC1597"/>
    <w:rsid w:val="00CC3305"/>
    <w:rsid w:val="00CE315A"/>
    <w:rsid w:val="00D03BCF"/>
    <w:rsid w:val="00D06F59"/>
    <w:rsid w:val="00D258D5"/>
    <w:rsid w:val="00D32448"/>
    <w:rsid w:val="00D5565B"/>
    <w:rsid w:val="00D619FA"/>
    <w:rsid w:val="00D8388C"/>
    <w:rsid w:val="00E6224C"/>
    <w:rsid w:val="00EA2082"/>
    <w:rsid w:val="00EA546C"/>
    <w:rsid w:val="00EB0164"/>
    <w:rsid w:val="00EB0584"/>
    <w:rsid w:val="00EB1BB5"/>
    <w:rsid w:val="00EC6496"/>
    <w:rsid w:val="00ED0F62"/>
    <w:rsid w:val="00F40BC8"/>
    <w:rsid w:val="00FB2DCF"/>
    <w:rsid w:val="00FD07E2"/>
    <w:rsid w:val="00FD74A8"/>
    <w:rsid w:val="00FF3749"/>
    <w:rsid w:val="01F34B2A"/>
    <w:rsid w:val="0212048F"/>
    <w:rsid w:val="0265452A"/>
    <w:rsid w:val="02A807E2"/>
    <w:rsid w:val="030B7C36"/>
    <w:rsid w:val="035F2BD3"/>
    <w:rsid w:val="03C42820"/>
    <w:rsid w:val="03FD4FF6"/>
    <w:rsid w:val="048D3FEA"/>
    <w:rsid w:val="04BB696A"/>
    <w:rsid w:val="04C90F2B"/>
    <w:rsid w:val="06654179"/>
    <w:rsid w:val="06F10483"/>
    <w:rsid w:val="077060BE"/>
    <w:rsid w:val="079A405D"/>
    <w:rsid w:val="07DF2AFF"/>
    <w:rsid w:val="07EB0834"/>
    <w:rsid w:val="080B0578"/>
    <w:rsid w:val="08980FB9"/>
    <w:rsid w:val="08A0169E"/>
    <w:rsid w:val="091B037C"/>
    <w:rsid w:val="09E977BC"/>
    <w:rsid w:val="0A1509E2"/>
    <w:rsid w:val="0A27192F"/>
    <w:rsid w:val="0A8C70F6"/>
    <w:rsid w:val="0AAE0902"/>
    <w:rsid w:val="0ADF2004"/>
    <w:rsid w:val="0AEF36DC"/>
    <w:rsid w:val="0AF04256"/>
    <w:rsid w:val="0B411E3E"/>
    <w:rsid w:val="0B652E76"/>
    <w:rsid w:val="0B7966D4"/>
    <w:rsid w:val="0B957B1A"/>
    <w:rsid w:val="0B980C6D"/>
    <w:rsid w:val="0B9A31A0"/>
    <w:rsid w:val="0BBE41E0"/>
    <w:rsid w:val="0BEB7F69"/>
    <w:rsid w:val="0C201563"/>
    <w:rsid w:val="0CDC7355"/>
    <w:rsid w:val="0D491409"/>
    <w:rsid w:val="0D497365"/>
    <w:rsid w:val="0D692839"/>
    <w:rsid w:val="0D7D62F5"/>
    <w:rsid w:val="0DA0219A"/>
    <w:rsid w:val="0DB52164"/>
    <w:rsid w:val="0DC01CFD"/>
    <w:rsid w:val="0DE75FA2"/>
    <w:rsid w:val="0E9F071A"/>
    <w:rsid w:val="0EB068FA"/>
    <w:rsid w:val="0ECE14E4"/>
    <w:rsid w:val="0F314117"/>
    <w:rsid w:val="10085BB1"/>
    <w:rsid w:val="1017085D"/>
    <w:rsid w:val="10276BE9"/>
    <w:rsid w:val="105240D8"/>
    <w:rsid w:val="108219C2"/>
    <w:rsid w:val="10D76028"/>
    <w:rsid w:val="10DB16FB"/>
    <w:rsid w:val="1113224B"/>
    <w:rsid w:val="11712337"/>
    <w:rsid w:val="11D5395F"/>
    <w:rsid w:val="121467D1"/>
    <w:rsid w:val="1229456B"/>
    <w:rsid w:val="12330544"/>
    <w:rsid w:val="126F600C"/>
    <w:rsid w:val="128D1E4D"/>
    <w:rsid w:val="12D95375"/>
    <w:rsid w:val="12F40DF6"/>
    <w:rsid w:val="132216DA"/>
    <w:rsid w:val="137D0CAE"/>
    <w:rsid w:val="13D53507"/>
    <w:rsid w:val="141C3600"/>
    <w:rsid w:val="142F0875"/>
    <w:rsid w:val="14EE56DB"/>
    <w:rsid w:val="15135E98"/>
    <w:rsid w:val="16772BD8"/>
    <w:rsid w:val="16867BEB"/>
    <w:rsid w:val="16BA6C31"/>
    <w:rsid w:val="17FD3326"/>
    <w:rsid w:val="185D6041"/>
    <w:rsid w:val="18B94195"/>
    <w:rsid w:val="19272344"/>
    <w:rsid w:val="19B46AE7"/>
    <w:rsid w:val="19ED09D0"/>
    <w:rsid w:val="1A9904CA"/>
    <w:rsid w:val="1AFD5E38"/>
    <w:rsid w:val="1B41023F"/>
    <w:rsid w:val="1BB100F1"/>
    <w:rsid w:val="1BD05128"/>
    <w:rsid w:val="1CC22FD1"/>
    <w:rsid w:val="1CE967C9"/>
    <w:rsid w:val="1D94647B"/>
    <w:rsid w:val="1E3C6945"/>
    <w:rsid w:val="1EA57087"/>
    <w:rsid w:val="1F610382"/>
    <w:rsid w:val="1FBF5445"/>
    <w:rsid w:val="1FC23CBE"/>
    <w:rsid w:val="1FF507B4"/>
    <w:rsid w:val="20DB4B26"/>
    <w:rsid w:val="211900A0"/>
    <w:rsid w:val="212C697B"/>
    <w:rsid w:val="214E7353"/>
    <w:rsid w:val="21BF0EAB"/>
    <w:rsid w:val="220E793D"/>
    <w:rsid w:val="229445FE"/>
    <w:rsid w:val="22ED0401"/>
    <w:rsid w:val="23247A1A"/>
    <w:rsid w:val="236031B8"/>
    <w:rsid w:val="238F65CE"/>
    <w:rsid w:val="239D478B"/>
    <w:rsid w:val="23A178AF"/>
    <w:rsid w:val="23CF39AD"/>
    <w:rsid w:val="24244568"/>
    <w:rsid w:val="24ED5D39"/>
    <w:rsid w:val="256D717A"/>
    <w:rsid w:val="25DC1148"/>
    <w:rsid w:val="262171BD"/>
    <w:rsid w:val="266B0827"/>
    <w:rsid w:val="26F02A12"/>
    <w:rsid w:val="26FF3AD0"/>
    <w:rsid w:val="2A1C1758"/>
    <w:rsid w:val="2A455774"/>
    <w:rsid w:val="2A89291C"/>
    <w:rsid w:val="2A9C7564"/>
    <w:rsid w:val="2ACA6785"/>
    <w:rsid w:val="2ACE0872"/>
    <w:rsid w:val="2B004F79"/>
    <w:rsid w:val="2BD34A0D"/>
    <w:rsid w:val="2BDB689E"/>
    <w:rsid w:val="2C3C4945"/>
    <w:rsid w:val="2DC74F5E"/>
    <w:rsid w:val="2E096DBC"/>
    <w:rsid w:val="2EB86955"/>
    <w:rsid w:val="2F0A352A"/>
    <w:rsid w:val="2F543231"/>
    <w:rsid w:val="2F5A7F85"/>
    <w:rsid w:val="2F5E6CB1"/>
    <w:rsid w:val="2F8E7791"/>
    <w:rsid w:val="2FF1370F"/>
    <w:rsid w:val="30313EC8"/>
    <w:rsid w:val="304A570C"/>
    <w:rsid w:val="305C1DB5"/>
    <w:rsid w:val="30F40186"/>
    <w:rsid w:val="31633F3B"/>
    <w:rsid w:val="31817E3D"/>
    <w:rsid w:val="31B41456"/>
    <w:rsid w:val="32505D26"/>
    <w:rsid w:val="32B242D5"/>
    <w:rsid w:val="348F71F4"/>
    <w:rsid w:val="34916F9A"/>
    <w:rsid w:val="359529B1"/>
    <w:rsid w:val="35FC3F43"/>
    <w:rsid w:val="36294D55"/>
    <w:rsid w:val="364C179A"/>
    <w:rsid w:val="3684783E"/>
    <w:rsid w:val="36AE4266"/>
    <w:rsid w:val="37364BB8"/>
    <w:rsid w:val="37883A40"/>
    <w:rsid w:val="37895692"/>
    <w:rsid w:val="38441F92"/>
    <w:rsid w:val="38B95E34"/>
    <w:rsid w:val="39285AAA"/>
    <w:rsid w:val="39E6519B"/>
    <w:rsid w:val="3A7B6B87"/>
    <w:rsid w:val="3AF80729"/>
    <w:rsid w:val="3B12715F"/>
    <w:rsid w:val="3B5F4DA0"/>
    <w:rsid w:val="3BC20472"/>
    <w:rsid w:val="3BD271D9"/>
    <w:rsid w:val="3BDD69B3"/>
    <w:rsid w:val="3C2B179C"/>
    <w:rsid w:val="3CF93155"/>
    <w:rsid w:val="3D5F10F9"/>
    <w:rsid w:val="3D901C4B"/>
    <w:rsid w:val="3DB9109A"/>
    <w:rsid w:val="3DD6700D"/>
    <w:rsid w:val="3E927D55"/>
    <w:rsid w:val="3F6159C1"/>
    <w:rsid w:val="3F67141F"/>
    <w:rsid w:val="3F941A8C"/>
    <w:rsid w:val="3FD67B85"/>
    <w:rsid w:val="405F089D"/>
    <w:rsid w:val="409A0C02"/>
    <w:rsid w:val="40CB7023"/>
    <w:rsid w:val="41606430"/>
    <w:rsid w:val="42555572"/>
    <w:rsid w:val="425725E8"/>
    <w:rsid w:val="42996777"/>
    <w:rsid w:val="43CD744C"/>
    <w:rsid w:val="4478512B"/>
    <w:rsid w:val="452F66AF"/>
    <w:rsid w:val="455129CA"/>
    <w:rsid w:val="462C33D1"/>
    <w:rsid w:val="46667AEF"/>
    <w:rsid w:val="466D0E0E"/>
    <w:rsid w:val="4695373F"/>
    <w:rsid w:val="4697160F"/>
    <w:rsid w:val="474B206F"/>
    <w:rsid w:val="478F2E3A"/>
    <w:rsid w:val="489050D9"/>
    <w:rsid w:val="48B87816"/>
    <w:rsid w:val="49023463"/>
    <w:rsid w:val="49682BE3"/>
    <w:rsid w:val="4A0D2C5F"/>
    <w:rsid w:val="4A7F020F"/>
    <w:rsid w:val="4AA772B4"/>
    <w:rsid w:val="4C531B79"/>
    <w:rsid w:val="4D1C333A"/>
    <w:rsid w:val="4D6F6AE3"/>
    <w:rsid w:val="4EF010EA"/>
    <w:rsid w:val="4EFC26DC"/>
    <w:rsid w:val="4F5C1F11"/>
    <w:rsid w:val="4F726449"/>
    <w:rsid w:val="5000230A"/>
    <w:rsid w:val="500055C5"/>
    <w:rsid w:val="50414F82"/>
    <w:rsid w:val="50B16817"/>
    <w:rsid w:val="5176133C"/>
    <w:rsid w:val="51D134CF"/>
    <w:rsid w:val="51DA5D40"/>
    <w:rsid w:val="523C78CD"/>
    <w:rsid w:val="52EE38A2"/>
    <w:rsid w:val="53395E55"/>
    <w:rsid w:val="53693CAB"/>
    <w:rsid w:val="549C5D38"/>
    <w:rsid w:val="54D76EC2"/>
    <w:rsid w:val="54EA72BB"/>
    <w:rsid w:val="55DA0FDB"/>
    <w:rsid w:val="55E039EC"/>
    <w:rsid w:val="55F91CC3"/>
    <w:rsid w:val="56047B5D"/>
    <w:rsid w:val="561513C9"/>
    <w:rsid w:val="567C45F7"/>
    <w:rsid w:val="56E800CA"/>
    <w:rsid w:val="57627A71"/>
    <w:rsid w:val="578541BD"/>
    <w:rsid w:val="57DB3900"/>
    <w:rsid w:val="58492CD1"/>
    <w:rsid w:val="58960553"/>
    <w:rsid w:val="58C94867"/>
    <w:rsid w:val="58D02612"/>
    <w:rsid w:val="59457317"/>
    <w:rsid w:val="59CF3E37"/>
    <w:rsid w:val="5A9D21AB"/>
    <w:rsid w:val="5AB613F2"/>
    <w:rsid w:val="5ABB0A1E"/>
    <w:rsid w:val="5B612207"/>
    <w:rsid w:val="5B8E7AE8"/>
    <w:rsid w:val="5C2772B0"/>
    <w:rsid w:val="5C480A26"/>
    <w:rsid w:val="5E3C45AA"/>
    <w:rsid w:val="5E4C2901"/>
    <w:rsid w:val="5E5B33B2"/>
    <w:rsid w:val="5EA12B9A"/>
    <w:rsid w:val="5EEC3F13"/>
    <w:rsid w:val="5F2E0F5F"/>
    <w:rsid w:val="5F681F1D"/>
    <w:rsid w:val="5F9D00F8"/>
    <w:rsid w:val="5F9D03C5"/>
    <w:rsid w:val="5FA62167"/>
    <w:rsid w:val="604F07F1"/>
    <w:rsid w:val="60654070"/>
    <w:rsid w:val="619536FC"/>
    <w:rsid w:val="61B911B5"/>
    <w:rsid w:val="62522124"/>
    <w:rsid w:val="62831B48"/>
    <w:rsid w:val="63231932"/>
    <w:rsid w:val="63517AAF"/>
    <w:rsid w:val="636016A8"/>
    <w:rsid w:val="646C4CC4"/>
    <w:rsid w:val="65171900"/>
    <w:rsid w:val="65183ECB"/>
    <w:rsid w:val="652956BE"/>
    <w:rsid w:val="659E04BA"/>
    <w:rsid w:val="65CA6838"/>
    <w:rsid w:val="665053DB"/>
    <w:rsid w:val="6684384C"/>
    <w:rsid w:val="66DE0102"/>
    <w:rsid w:val="67152B67"/>
    <w:rsid w:val="67E5742B"/>
    <w:rsid w:val="68127C3B"/>
    <w:rsid w:val="68764576"/>
    <w:rsid w:val="68F027D6"/>
    <w:rsid w:val="690C6064"/>
    <w:rsid w:val="69A429DF"/>
    <w:rsid w:val="6A677455"/>
    <w:rsid w:val="6A6C3C8A"/>
    <w:rsid w:val="6A821F34"/>
    <w:rsid w:val="6A974851"/>
    <w:rsid w:val="6AFD0161"/>
    <w:rsid w:val="6B517308"/>
    <w:rsid w:val="6B633BBF"/>
    <w:rsid w:val="6B9003ED"/>
    <w:rsid w:val="6C2500E0"/>
    <w:rsid w:val="6C7A320C"/>
    <w:rsid w:val="6CCB6BCF"/>
    <w:rsid w:val="6D1211C3"/>
    <w:rsid w:val="6D7B6FD2"/>
    <w:rsid w:val="6D9318BE"/>
    <w:rsid w:val="6DD944A3"/>
    <w:rsid w:val="6E350C13"/>
    <w:rsid w:val="6E9C69DC"/>
    <w:rsid w:val="6FF845CA"/>
    <w:rsid w:val="70956DF5"/>
    <w:rsid w:val="70B7124E"/>
    <w:rsid w:val="71064139"/>
    <w:rsid w:val="711F0358"/>
    <w:rsid w:val="71C11E77"/>
    <w:rsid w:val="7241491A"/>
    <w:rsid w:val="726B4339"/>
    <w:rsid w:val="728C2B53"/>
    <w:rsid w:val="72F02F6F"/>
    <w:rsid w:val="731628E1"/>
    <w:rsid w:val="73533FDD"/>
    <w:rsid w:val="737B42EF"/>
    <w:rsid w:val="73B81ADD"/>
    <w:rsid w:val="73CE52A3"/>
    <w:rsid w:val="741722F5"/>
    <w:rsid w:val="74926960"/>
    <w:rsid w:val="75784EBD"/>
    <w:rsid w:val="75BF112D"/>
    <w:rsid w:val="75E67D08"/>
    <w:rsid w:val="75FF16C4"/>
    <w:rsid w:val="76316263"/>
    <w:rsid w:val="7768158A"/>
    <w:rsid w:val="77B53A15"/>
    <w:rsid w:val="77EA4D2B"/>
    <w:rsid w:val="78670EAF"/>
    <w:rsid w:val="787B2434"/>
    <w:rsid w:val="78951FD5"/>
    <w:rsid w:val="78AD45C1"/>
    <w:rsid w:val="78F637D2"/>
    <w:rsid w:val="79C23979"/>
    <w:rsid w:val="79CC073E"/>
    <w:rsid w:val="79E3571C"/>
    <w:rsid w:val="7A287B25"/>
    <w:rsid w:val="7A427913"/>
    <w:rsid w:val="7A871456"/>
    <w:rsid w:val="7AE809AE"/>
    <w:rsid w:val="7AFF30B8"/>
    <w:rsid w:val="7BB84C0C"/>
    <w:rsid w:val="7BD56903"/>
    <w:rsid w:val="7C107799"/>
    <w:rsid w:val="7C223222"/>
    <w:rsid w:val="7CE068CE"/>
    <w:rsid w:val="7D234897"/>
    <w:rsid w:val="7D886940"/>
    <w:rsid w:val="7DB6474E"/>
    <w:rsid w:val="7E2619D9"/>
    <w:rsid w:val="7E304D79"/>
    <w:rsid w:val="7E310722"/>
    <w:rsid w:val="7E6273FE"/>
    <w:rsid w:val="7E741BF9"/>
    <w:rsid w:val="7E964F86"/>
    <w:rsid w:val="7ED46764"/>
    <w:rsid w:val="7FB03E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99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3"/>
    <w:qFormat/>
    <w:uiPriority w:val="99"/>
    <w:pPr>
      <w:keepNext/>
      <w:tabs>
        <w:tab w:val="left" w:pos="3510"/>
        <w:tab w:val="left" w:pos="3585"/>
        <w:tab w:val="center" w:pos="4410"/>
        <w:tab w:val="left" w:pos="4620"/>
        <w:tab w:val="left" w:pos="4830"/>
        <w:tab w:val="left" w:pos="5580"/>
      </w:tabs>
      <w:outlineLvl w:val="1"/>
    </w:pPr>
    <w:rPr>
      <w:rFonts w:ascii="Calibri" w:hAnsi="Calibri"/>
      <w:b/>
      <w:bCs/>
      <w:sz w:val="32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4">
    <w:name w:val="Block Text"/>
    <w:basedOn w:val="1"/>
    <w:qFormat/>
    <w:uiPriority w:val="99"/>
    <w:pPr>
      <w:tabs>
        <w:tab w:val="left" w:pos="709"/>
        <w:tab w:val="left" w:pos="1069"/>
        <w:tab w:val="left" w:pos="2149"/>
      </w:tabs>
      <w:ind w:left="1429" w:right="194"/>
    </w:pPr>
    <w:rPr>
      <w:rFonts w:ascii="楷体_GB2312" w:eastAsia="楷体_GB2312"/>
      <w:sz w:val="24"/>
    </w:rPr>
  </w:style>
  <w:style w:type="paragraph" w:styleId="5">
    <w:name w:val="Plain Text"/>
    <w:basedOn w:val="1"/>
    <w:link w:val="20"/>
    <w:qFormat/>
    <w:uiPriority w:val="99"/>
    <w:rPr>
      <w:rFonts w:ascii="宋体" w:hAnsi="Courier New"/>
    </w:rPr>
  </w:style>
  <w:style w:type="paragraph" w:styleId="6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rPr>
      <w:color w:val="000000"/>
      <w:kern w:val="0"/>
      <w:sz w:val="24"/>
      <w:szCs w:val="24"/>
    </w:rPr>
  </w:style>
  <w:style w:type="character" w:customStyle="1" w:styleId="12">
    <w:name w:val="页眉 Char"/>
    <w:basedOn w:val="11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11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Table Paragraph"/>
    <w:basedOn w:val="1"/>
    <w:unhideWhenUsed/>
    <w:qFormat/>
    <w:uiPriority w:val="1"/>
    <w:rPr>
      <w:color w:val="000000"/>
      <w:kern w:val="0"/>
      <w:sz w:val="24"/>
      <w:szCs w:val="24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8">
    <w:name w:val="列出段落2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9">
    <w:name w:val="列出段落3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20">
    <w:name w:val="纯文本 Char"/>
    <w:basedOn w:val="11"/>
    <w:link w:val="5"/>
    <w:qFormat/>
    <w:uiPriority w:val="99"/>
    <w:rPr>
      <w:rFonts w:ascii="宋体" w:hAnsi="Courier New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2889</Words>
  <Characters>16473</Characters>
  <Lines>137</Lines>
  <Paragraphs>38</Paragraphs>
  <TotalTime>0</TotalTime>
  <ScaleCrop>false</ScaleCrop>
  <LinksUpToDate>false</LinksUpToDate>
  <CharactersWithSpaces>19324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LIL</cp:lastModifiedBy>
  <dcterms:modified xsi:type="dcterms:W3CDTF">2022-07-26T14:17:59Z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2BC1798F7C5C4705AE2923A0F07255EE</vt:lpwstr>
  </property>
</Properties>
</file>