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eastAsia="zh-CN"/>
              </w:rPr>
              <w:t>制造部</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cs="宋体"/>
                <w:sz w:val="21"/>
                <w:szCs w:val="21"/>
                <w:lang w:eastAsia="zh-CN"/>
              </w:rPr>
              <w:t>张志华</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cs="宋体"/>
                <w:sz w:val="21"/>
                <w:szCs w:val="21"/>
                <w:lang w:eastAsia="zh-CN"/>
              </w:rPr>
              <w:t>肖虎</w:t>
            </w:r>
            <w:r>
              <w:rPr>
                <w:rFonts w:hint="eastAsia" w:ascii="宋体" w:hAnsi="宋体" w:cs="宋体"/>
                <w:sz w:val="21"/>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rPr>
            </w:pPr>
            <w:r>
              <w:rPr>
                <w:rFonts w:hint="eastAsia" w:ascii="宋体" w:hAnsi="宋体" w:eastAsia="宋体" w:cs="宋体"/>
                <w:sz w:val="21"/>
                <w:szCs w:val="21"/>
              </w:rPr>
              <w:t>审核员：</w:t>
            </w:r>
            <w:r>
              <w:rPr>
                <w:rFonts w:hint="eastAsia" w:ascii="宋体" w:hAnsi="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 xml:space="preserve">2.6.26    </w:t>
            </w:r>
            <w:bookmarkStart w:id="0" w:name="_GoBack"/>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微信视频、语音、群沟通</w:t>
            </w:r>
            <w:r>
              <w:rPr>
                <w:rFonts w:hint="eastAsia" w:ascii="宋体" w:hAnsi="宋体" w:eastAsia="宋体" w:cs="宋体"/>
                <w:sz w:val="21"/>
                <w:szCs w:val="21"/>
                <w:lang w:eastAsia="zh-CN"/>
              </w:rPr>
              <w:t>）</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EMS/OMS：5.3、6.1.2、6.2、7.4、8.1、8.2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hint="eastAsia" w:ascii="宋体" w:hAnsi="宋体" w:cs="新宋体"/>
                <w:szCs w:val="21"/>
              </w:rPr>
            </w:pPr>
          </w:p>
          <w:p>
            <w:pPr>
              <w:rPr>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360" w:lineRule="auto"/>
              <w:jc w:val="left"/>
              <w:rPr>
                <w:rFonts w:hint="eastAsia" w:ascii="宋体" w:eastAsia="宋体" w:cs="宋体"/>
                <w:szCs w:val="21"/>
                <w:lang w:eastAsia="zh-CN"/>
              </w:rPr>
            </w:pPr>
            <w:r>
              <w:rPr>
                <w:rFonts w:hint="eastAsia" w:ascii="宋体" w:cs="宋体"/>
                <w:szCs w:val="21"/>
              </w:rPr>
              <w:t>查，</w:t>
            </w:r>
            <w:r>
              <w:rPr>
                <w:rFonts w:hint="eastAsia" w:ascii="宋体" w:cs="宋体"/>
                <w:szCs w:val="21"/>
                <w:lang w:eastAsia="zh-CN"/>
              </w:rPr>
              <w:t>制造部</w:t>
            </w:r>
            <w:r>
              <w:rPr>
                <w:rFonts w:hint="eastAsia" w:ascii="宋体" w:cs="宋体"/>
                <w:szCs w:val="21"/>
              </w:rPr>
              <w:t>的岗位职责和权限</w:t>
            </w:r>
            <w:r>
              <w:rPr>
                <w:rFonts w:hint="eastAsia" w:ascii="宋体" w:cs="宋体"/>
                <w:szCs w:val="21"/>
                <w:lang w:eastAsia="zh-CN"/>
              </w:rPr>
              <w:t>：</w:t>
            </w:r>
          </w:p>
          <w:p>
            <w:pPr>
              <w:spacing w:line="360" w:lineRule="auto"/>
              <w:ind w:left="1297" w:leftChars="174" w:hanging="932" w:hangingChars="444"/>
              <w:rPr>
                <w:rFonts w:ascii="宋体" w:hAnsi="宋体" w:cs="宋体"/>
                <w:szCs w:val="21"/>
              </w:rPr>
            </w:pPr>
            <w:r>
              <w:rPr>
                <w:rFonts w:hint="eastAsia" w:ascii="宋体" w:hAnsi="宋体" w:cs="宋体"/>
                <w:szCs w:val="21"/>
              </w:rPr>
              <w:t xml:space="preserve">负责根据合同要求进行方案策划、进行维修、咨询和售后服务； 负责过程环境、安全管理； </w:t>
            </w:r>
          </w:p>
          <w:p>
            <w:pPr>
              <w:spacing w:line="360" w:lineRule="auto"/>
              <w:ind w:firstLine="420" w:firstLineChars="200"/>
              <w:rPr>
                <w:rFonts w:ascii="宋体" w:hAnsi="宋体" w:cs="宋体"/>
                <w:szCs w:val="21"/>
              </w:rPr>
            </w:pPr>
            <w:r>
              <w:rPr>
                <w:rFonts w:hint="eastAsia" w:ascii="宋体" w:hAnsi="宋体" w:cs="宋体"/>
                <w:szCs w:val="21"/>
              </w:rPr>
              <w:t xml:space="preserve">负责监视和测量资源的管理； 组织落实、监督调控服务过程各项工艺、质量、安全、成本指标等；    </w:t>
            </w:r>
          </w:p>
          <w:p>
            <w:pPr>
              <w:spacing w:line="360" w:lineRule="auto"/>
              <w:ind w:left="365" w:leftChars="174"/>
              <w:rPr>
                <w:rFonts w:ascii="宋体" w:hAnsi="宋体" w:cs="宋体"/>
                <w:szCs w:val="21"/>
              </w:rPr>
            </w:pPr>
            <w:r>
              <w:rPr>
                <w:rFonts w:hint="eastAsia" w:ascii="宋体" w:hAnsi="宋体" w:cs="宋体"/>
                <w:szCs w:val="21"/>
              </w:rPr>
              <w:t>负责不合格输出的控制、负责本部门环境因素、危险源的辨识；参与公司组织的应急演习、合规性评价。</w:t>
            </w:r>
          </w:p>
          <w:p>
            <w:pPr>
              <w:spacing w:line="360" w:lineRule="auto"/>
              <w:rPr>
                <w:rFonts w:ascii="宋体" w:cs="宋体"/>
                <w:szCs w:val="21"/>
              </w:rPr>
            </w:pPr>
            <w:r>
              <w:rPr>
                <w:rFonts w:hint="eastAsia" w:ascii="宋体" w:hAnsi="宋体" w:cs="宋体"/>
                <w:szCs w:val="21"/>
              </w:rPr>
              <w:t>……</w:t>
            </w:r>
          </w:p>
          <w:p>
            <w:pPr>
              <w:widowControl/>
              <w:spacing w:line="360" w:lineRule="auto"/>
              <w:jc w:val="left"/>
              <w:rPr>
                <w:rFonts w:ascii="宋体" w:hAnsi="宋体"/>
                <w:szCs w:val="21"/>
              </w:rPr>
            </w:pPr>
            <w:r>
              <w:rPr>
                <w:rFonts w:hint="eastAsia" w:ascii="宋体"/>
                <w:szCs w:val="21"/>
                <w:lang w:eastAsia="zh-CN"/>
              </w:rPr>
              <w:t>制造部</w:t>
            </w:r>
            <w:r>
              <w:rPr>
                <w:rFonts w:hint="eastAsia" w:asci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hint="eastAsia" w:ascii="宋体" w:hAnsi="宋体" w:cs="新宋体"/>
                <w:szCs w:val="21"/>
              </w:rPr>
            </w:pPr>
          </w:p>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6.2</w:t>
            </w:r>
          </w:p>
        </w:tc>
        <w:tc>
          <w:tcPr>
            <w:tcW w:w="10004" w:type="dxa"/>
          </w:tcPr>
          <w:p>
            <w:pPr>
              <w:spacing w:line="360" w:lineRule="auto"/>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eastAsia="zh-CN"/>
              </w:rPr>
              <w:t>制造部</w:t>
            </w:r>
            <w:r>
              <w:rPr>
                <w:rFonts w:hint="eastAsia" w:ascii="宋体" w:hAnsi="宋体" w:cs="宋体"/>
                <w:szCs w:val="21"/>
              </w:rPr>
              <w:t>环境目标完成情况：</w:t>
            </w:r>
          </w:p>
          <w:p>
            <w:pPr>
              <w:spacing w:line="360" w:lineRule="auto"/>
              <w:ind w:right="170"/>
              <w:jc w:val="left"/>
              <w:rPr>
                <w:rFonts w:hint="eastAsia" w:ascii="宋体" w:hAnsi="宋体" w:cs="Arial"/>
                <w:iCs/>
                <w:szCs w:val="21"/>
                <w:lang w:eastAsia="zh-CN"/>
              </w:rPr>
            </w:pPr>
            <w:r>
              <w:rPr>
                <w:rFonts w:hint="eastAsia" w:ascii="宋体" w:hAnsi="宋体" w:cs="Arial"/>
                <w:iCs/>
                <w:szCs w:val="21"/>
                <w:lang w:eastAsia="zh-CN"/>
              </w:rPr>
              <w:t>1、灭火器配置率</w:t>
            </w:r>
            <w:r>
              <w:rPr>
                <w:rFonts w:hint="eastAsia" w:ascii="宋体" w:hAnsi="宋体" w:cs="Arial"/>
                <w:iCs/>
                <w:szCs w:val="21"/>
                <w:lang w:val="en-US" w:eastAsia="zh-CN"/>
              </w:rPr>
              <w:t xml:space="preserve">               </w:t>
            </w:r>
            <w:r>
              <w:rPr>
                <w:rFonts w:hint="eastAsia" w:ascii="宋体" w:hAnsi="宋体" w:cs="Arial"/>
                <w:iCs/>
                <w:szCs w:val="21"/>
                <w:lang w:eastAsia="zh-CN"/>
              </w:rPr>
              <w:t>100％</w:t>
            </w:r>
          </w:p>
          <w:p>
            <w:pPr>
              <w:spacing w:line="360" w:lineRule="auto"/>
              <w:ind w:right="170"/>
              <w:jc w:val="left"/>
              <w:rPr>
                <w:rFonts w:hint="default" w:ascii="宋体" w:hAnsi="宋体" w:cs="Arial"/>
                <w:iCs/>
                <w:szCs w:val="21"/>
                <w:lang w:val="en-US" w:eastAsia="zh-CN"/>
              </w:rPr>
            </w:pPr>
            <w:r>
              <w:rPr>
                <w:rFonts w:hint="eastAsia" w:ascii="宋体" w:hAnsi="宋体" w:cs="Arial"/>
                <w:iCs/>
                <w:szCs w:val="21"/>
                <w:lang w:eastAsia="zh-CN"/>
              </w:rPr>
              <w:t>2、固废100％分类进行处理</w:t>
            </w:r>
            <w:r>
              <w:rPr>
                <w:rFonts w:hint="eastAsia" w:ascii="宋体" w:hAnsi="宋体" w:cs="Arial"/>
                <w:iCs/>
                <w:szCs w:val="21"/>
                <w:lang w:val="en-US" w:eastAsia="zh-CN"/>
              </w:rPr>
              <w:t xml:space="preserve">      </w:t>
            </w:r>
            <w:r>
              <w:rPr>
                <w:rFonts w:hint="eastAsia" w:ascii="宋体" w:hAnsi="宋体" w:cs="Arial"/>
                <w:iCs/>
                <w:szCs w:val="21"/>
                <w:lang w:eastAsia="zh-CN"/>
              </w:rPr>
              <w:t>100％</w:t>
            </w:r>
          </w:p>
          <w:p>
            <w:pPr>
              <w:spacing w:line="360" w:lineRule="auto"/>
              <w:ind w:right="170"/>
              <w:jc w:val="left"/>
              <w:rPr>
                <w:rFonts w:hint="default" w:ascii="宋体" w:hAnsi="宋体" w:cs="Arial"/>
                <w:iCs/>
                <w:szCs w:val="21"/>
                <w:lang w:val="en-US" w:eastAsia="zh-CN"/>
              </w:rPr>
            </w:pPr>
            <w:r>
              <w:rPr>
                <w:rFonts w:hint="eastAsia" w:ascii="宋体" w:hAnsi="宋体" w:cs="Arial"/>
                <w:iCs/>
                <w:szCs w:val="21"/>
                <w:lang w:eastAsia="zh-CN"/>
              </w:rPr>
              <w:t>3、无重大环境投诉</w:t>
            </w:r>
            <w:r>
              <w:rPr>
                <w:rFonts w:hint="eastAsia" w:ascii="宋体" w:hAnsi="宋体" w:cs="Arial"/>
                <w:iCs/>
                <w:szCs w:val="21"/>
                <w:lang w:val="en-US" w:eastAsia="zh-CN"/>
              </w:rPr>
              <w:t xml:space="preserve">                0</w:t>
            </w:r>
          </w:p>
          <w:p>
            <w:pPr>
              <w:spacing w:line="360" w:lineRule="auto"/>
              <w:ind w:right="170"/>
              <w:jc w:val="left"/>
              <w:rPr>
                <w:rFonts w:hint="default" w:ascii="宋体" w:hAnsi="宋体" w:cs="Arial"/>
                <w:iCs/>
                <w:szCs w:val="21"/>
                <w:lang w:val="en-US" w:eastAsia="zh-CN"/>
              </w:rPr>
            </w:pPr>
            <w:r>
              <w:rPr>
                <w:rFonts w:hint="eastAsia" w:ascii="宋体" w:hAnsi="宋体" w:cs="Arial"/>
                <w:iCs/>
                <w:szCs w:val="21"/>
                <w:lang w:val="en-US" w:eastAsia="zh-CN"/>
              </w:rPr>
              <w:t>4、</w:t>
            </w:r>
            <w:r>
              <w:rPr>
                <w:rFonts w:hint="eastAsia" w:ascii="宋体" w:hAnsi="宋体" w:cs="Arial"/>
                <w:iCs/>
                <w:szCs w:val="21"/>
                <w:lang w:eastAsia="zh-CN"/>
              </w:rPr>
              <w:t>火灾事故发生率为0。</w:t>
            </w:r>
            <w:r>
              <w:rPr>
                <w:rFonts w:hint="eastAsia" w:ascii="宋体" w:hAnsi="宋体" w:cs="Arial"/>
                <w:iCs/>
                <w:szCs w:val="21"/>
                <w:lang w:val="en-US" w:eastAsia="zh-CN"/>
              </w:rPr>
              <w:t xml:space="preserve">          0</w:t>
            </w:r>
          </w:p>
          <w:p>
            <w:pPr>
              <w:spacing w:line="360" w:lineRule="auto"/>
              <w:ind w:right="-107" w:rightChars="-51"/>
              <w:jc w:val="left"/>
              <w:rPr>
                <w:rFonts w:hint="eastAsia" w:ascii="宋体" w:hAnsi="宋体" w:cs="Arial"/>
                <w:iCs/>
                <w:szCs w:val="21"/>
                <w:lang w:val="en-US" w:eastAsia="zh-CN"/>
              </w:rPr>
            </w:pPr>
            <w:r>
              <w:rPr>
                <w:rFonts w:hint="eastAsia" w:ascii="宋体" w:hAnsi="宋体" w:cs="Arial"/>
                <w:iCs/>
                <w:szCs w:val="21"/>
                <w:lang w:val="en-US" w:eastAsia="zh-CN"/>
              </w:rPr>
              <w:t>5、生产过程人身伤害：重大伤亡事故0轻伤事故年度≤2次    0</w:t>
            </w:r>
          </w:p>
          <w:p>
            <w:pPr>
              <w:spacing w:line="360" w:lineRule="auto"/>
              <w:ind w:right="-107" w:rightChars="-51"/>
              <w:jc w:val="left"/>
              <w:rPr>
                <w:rFonts w:ascii="宋体" w:hAnsi="宋体" w:cs="宋体"/>
                <w:szCs w:val="21"/>
              </w:rPr>
            </w:pPr>
            <w:r>
              <w:rPr>
                <w:rFonts w:hint="eastAsia" w:ascii="宋体" w:hAnsi="宋体" w:cs="宋体"/>
                <w:szCs w:val="21"/>
              </w:rPr>
              <w:t>均能达到要求。</w:t>
            </w:r>
          </w:p>
          <w:p>
            <w:pPr>
              <w:pStyle w:val="2"/>
              <w:rPr>
                <w:rFonts w:ascii="宋体" w:hAnsi="宋体"/>
                <w:szCs w:val="21"/>
              </w:rPr>
            </w:pPr>
            <w:r>
              <w:rPr>
                <w:rFonts w:hint="eastAsia" w:ascii="宋体" w:hAnsi="宋体" w:eastAsia="宋体" w:cs="宋体"/>
                <w:b w:val="0"/>
                <w:bCs w:val="0"/>
                <w:kern w:val="2"/>
                <w:sz w:val="21"/>
                <w:szCs w:val="21"/>
                <w:lang w:val="en-US" w:eastAsia="zh-CN" w:bidi="ar-SA"/>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hint="eastAsia" w:ascii="宋体" w:hAnsi="宋体" w:cs="新宋体"/>
                <w:szCs w:val="21"/>
              </w:rPr>
            </w:pPr>
          </w:p>
          <w:p>
            <w:pPr>
              <w:rPr>
                <w:rFonts w:ascii="宋体" w:hAnsi="宋体" w:cs="新宋体"/>
                <w:szCs w:val="21"/>
              </w:rPr>
            </w:pPr>
            <w:r>
              <w:rPr>
                <w:rFonts w:hint="eastAsia" w:ascii="宋体" w:hAnsi="宋体" w:cs="新宋体"/>
                <w:szCs w:val="21"/>
              </w:rPr>
              <w:t>E</w:t>
            </w:r>
            <w:r>
              <w:rPr>
                <w:rFonts w:hint="eastAsia" w:ascii="宋体" w:hAnsi="宋体" w:cs="新宋体"/>
                <w:szCs w:val="21"/>
                <w:lang w:eastAsia="zh-CN"/>
              </w:rPr>
              <w:t>：</w:t>
            </w:r>
            <w:r>
              <w:rPr>
                <w:rFonts w:hint="eastAsia" w:ascii="宋体" w:hAnsi="宋体" w:cs="新宋体"/>
                <w:szCs w:val="21"/>
              </w:rPr>
              <w:t>6.1.2</w:t>
            </w:r>
          </w:p>
        </w:tc>
        <w:tc>
          <w:tcPr>
            <w:tcW w:w="10004" w:type="dxa"/>
          </w:tcPr>
          <w:p>
            <w:pPr>
              <w:autoSpaceDE w:val="0"/>
              <w:autoSpaceDN w:val="0"/>
              <w:adjustRightInd w:val="0"/>
              <w:spacing w:line="400" w:lineRule="exact"/>
              <w:ind w:firstLine="420" w:firstLineChars="200"/>
              <w:jc w:val="left"/>
            </w:pPr>
            <w:r>
              <w:rPr>
                <w:rFonts w:hint="eastAsia"/>
              </w:rPr>
              <w:t>查，依据《环境因素识别与评价》，根据不同的时态、状态识别了环境因素，通过对其发生的可能性、危害性等进行评价，</w:t>
            </w:r>
            <w:r>
              <w:rPr>
                <w:rFonts w:hint="eastAsia"/>
                <w:lang w:eastAsia="zh-CN"/>
              </w:rPr>
              <w:t>制造部</w:t>
            </w:r>
            <w:r>
              <w:rPr>
                <w:rFonts w:hint="eastAsia"/>
              </w:rPr>
              <w:t>确定的重要环境因素有：固废排放、潜在火灾、噪声排放、废气排放。</w:t>
            </w:r>
          </w:p>
          <w:p>
            <w:pPr>
              <w:autoSpaceDE w:val="0"/>
              <w:autoSpaceDN w:val="0"/>
              <w:adjustRightInd w:val="0"/>
              <w:spacing w:line="400" w:lineRule="exact"/>
              <w:ind w:firstLine="420" w:firstLineChars="200"/>
              <w:jc w:val="left"/>
            </w:pPr>
            <w:r>
              <w:rPr>
                <w:rFonts w:hint="eastAsia"/>
                <w:lang w:val="en-US" w:eastAsia="zh-CN"/>
              </w:rPr>
              <w:t>远程</w:t>
            </w:r>
            <w:r>
              <w:rPr>
                <w:rFonts w:hint="eastAsia"/>
              </w:rPr>
              <w:t>查看，</w:t>
            </w:r>
            <w:r>
              <w:rPr>
                <w:rFonts w:hint="eastAsia"/>
                <w:lang w:eastAsia="zh-CN"/>
              </w:rPr>
              <w:t>制造部</w:t>
            </w:r>
            <w:r>
              <w:rPr>
                <w:rFonts w:hint="eastAsia"/>
              </w:rPr>
              <w:t>的主要工作为石墨烯导电复合加热膜的生产。废边角料经收集后外售综合利用;废擦拭纸、废抹布、废包装材料、废活性炭经收集后委托有资质单位进行集中处理；噪声和废气主要为</w:t>
            </w:r>
            <w:r>
              <w:rPr>
                <w:rFonts w:hint="eastAsia"/>
                <w:lang w:val="en-US" w:eastAsia="zh-CN"/>
              </w:rPr>
              <w:t>生产设备运行</w:t>
            </w:r>
            <w:r>
              <w:rPr>
                <w:rFonts w:hint="eastAsia"/>
              </w:rPr>
              <w:t>时产生；废水主要为</w:t>
            </w:r>
            <w:r>
              <w:rPr>
                <w:rFonts w:hint="eastAsia"/>
                <w:lang w:val="en-US" w:eastAsia="zh-CN"/>
              </w:rPr>
              <w:t>生活废水</w:t>
            </w:r>
            <w:r>
              <w:rPr>
                <w:rFonts w:hint="eastAsia"/>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r>
              <w:rPr>
                <w:rFonts w:hint="eastAsia" w:ascii="宋体" w:hAnsi="宋体" w:cs="新宋体"/>
                <w:szCs w:val="21"/>
              </w:rPr>
              <w:t>危险源识别、评价与控制措施</w:t>
            </w:r>
          </w:p>
        </w:tc>
        <w:tc>
          <w:tcPr>
            <w:tcW w:w="960" w:type="dxa"/>
            <w:vAlign w:val="top"/>
          </w:tcPr>
          <w:p>
            <w:pPr>
              <w:rPr>
                <w:rFonts w:hint="eastAsia"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004" w:type="dxa"/>
            <w:vAlign w:val="top"/>
          </w:tcPr>
          <w:p>
            <w:pPr>
              <w:spacing w:line="360" w:lineRule="auto"/>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制造部</w:t>
            </w:r>
            <w:r>
              <w:rPr>
                <w:rFonts w:hint="eastAsia" w:ascii="宋体" w:cs="宋体"/>
                <w:szCs w:val="21"/>
              </w:rPr>
              <w:t>经过辨识与评审形成了</w:t>
            </w:r>
            <w:r>
              <w:rPr>
                <w:rFonts w:hint="eastAsia" w:ascii="宋体" w:hAnsi="宋体" w:cs="宋体"/>
                <w:szCs w:val="21"/>
              </w:rPr>
              <w:t>《危险源辨识与风险评价表》，包括电气使用不当造成</w:t>
            </w:r>
            <w:r>
              <w:rPr>
                <w:rFonts w:hint="eastAsia"/>
                <w:szCs w:val="21"/>
              </w:rPr>
              <w:t>火灾</w:t>
            </w:r>
            <w:r>
              <w:rPr>
                <w:rFonts w:hint="eastAsia" w:ascii="宋体" w:hAnsi="宋体" w:cs="宋体"/>
                <w:szCs w:val="21"/>
              </w:rPr>
              <w:t>；员工操作不当造成</w:t>
            </w:r>
            <w:r>
              <w:rPr>
                <w:rFonts w:hint="eastAsia"/>
                <w:szCs w:val="21"/>
              </w:rPr>
              <w:t>机械伤害</w:t>
            </w:r>
            <w:r>
              <w:rPr>
                <w:rFonts w:hint="eastAsia"/>
                <w:szCs w:val="21"/>
                <w:lang w:val="en-US" w:eastAsia="zh-CN"/>
              </w:rPr>
              <w:t>及触电</w:t>
            </w:r>
            <w:r>
              <w:rPr>
                <w:rFonts w:hint="eastAsia"/>
                <w:szCs w:val="21"/>
              </w:rPr>
              <w:t>；</w:t>
            </w:r>
            <w:r>
              <w:rPr>
                <w:rFonts w:hint="eastAsia"/>
                <w:szCs w:val="21"/>
                <w:lang w:val="en-US" w:eastAsia="zh-CN"/>
              </w:rPr>
              <w:t>生产</w:t>
            </w:r>
            <w:r>
              <w:rPr>
                <w:rFonts w:hint="eastAsia"/>
                <w:szCs w:val="21"/>
              </w:rPr>
              <w:t>过程因接触噪声、粉尘和</w:t>
            </w:r>
            <w:r>
              <w:rPr>
                <w:rFonts w:hint="eastAsia"/>
                <w:szCs w:val="21"/>
                <w:lang w:val="en-US" w:eastAsia="zh-CN"/>
              </w:rPr>
              <w:t>化学品</w:t>
            </w:r>
            <w:r>
              <w:rPr>
                <w:rFonts w:hint="eastAsia"/>
                <w:szCs w:val="21"/>
              </w:rPr>
              <w:t>等造成职业危害</w:t>
            </w:r>
            <w:r>
              <w:rPr>
                <w:rFonts w:hint="eastAsia" w:ascii="宋体" w:hAnsi="宋体" w:cs="宋体"/>
                <w:szCs w:val="21"/>
              </w:rPr>
              <w:t>等危险源。</w:t>
            </w:r>
          </w:p>
          <w:p>
            <w:pPr>
              <w:widowControl/>
              <w:spacing w:line="360" w:lineRule="auto"/>
              <w:jc w:val="left"/>
              <w:rPr>
                <w:rFonts w:hint="eastAsia" w:eastAsia="宋体"/>
                <w:lang w:eastAsia="zh-CN"/>
              </w:rPr>
            </w:pPr>
            <w:r>
              <w:rPr>
                <w:rFonts w:hint="eastAsia" w:ascii="宋体" w:hAnsi="宋体"/>
                <w:szCs w:val="21"/>
              </w:rPr>
              <w:t>危险源识别基本充分，控制措施</w:t>
            </w:r>
            <w:r>
              <w:rPr>
                <w:rFonts w:hint="eastAsia" w:ascii="宋体" w:hAnsi="宋体"/>
                <w:szCs w:val="21"/>
                <w:lang w:val="en-US" w:eastAsia="zh-CN"/>
              </w:rPr>
              <w:t>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jc w:val="left"/>
              <w:rPr>
                <w:rFonts w:hint="eastAsia" w:ascii="宋体" w:hAnsi="宋体" w:cs="新宋体"/>
                <w:szCs w:val="21"/>
              </w:rPr>
            </w:pPr>
          </w:p>
          <w:p>
            <w:pPr>
              <w:jc w:val="left"/>
              <w:rPr>
                <w:rFonts w:hint="eastAsia" w:ascii="宋体" w:hAnsi="宋体" w:cs="新宋体"/>
                <w:szCs w:val="21"/>
              </w:rPr>
            </w:pPr>
          </w:p>
          <w:p>
            <w:pPr>
              <w:jc w:val="left"/>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7.4 </w:t>
            </w:r>
          </w:p>
          <w:p>
            <w:pPr>
              <w:rPr>
                <w:rFonts w:ascii="宋体" w:hAnsi="宋体" w:cs="新宋体"/>
                <w:szCs w:val="21"/>
              </w:rPr>
            </w:pPr>
          </w:p>
        </w:tc>
        <w:tc>
          <w:tcPr>
            <w:tcW w:w="10004" w:type="dxa"/>
          </w:tcPr>
          <w:p>
            <w:pPr>
              <w:pStyle w:val="9"/>
              <w:spacing w:line="360" w:lineRule="auto"/>
              <w:rPr>
                <w:sz w:val="21"/>
                <w:szCs w:val="21"/>
              </w:rPr>
            </w:pPr>
            <w:r>
              <w:rPr>
                <w:rFonts w:hint="eastAsia"/>
                <w:kern w:val="2"/>
                <w:sz w:val="21"/>
                <w:szCs w:val="21"/>
                <w:lang w:val="en-US" w:eastAsia="zh-CN"/>
              </w:rPr>
              <w:t>提供</w:t>
            </w:r>
            <w:r>
              <w:rPr>
                <w:rFonts w:hint="eastAsia"/>
                <w:kern w:val="2"/>
                <w:sz w:val="21"/>
                <w:szCs w:val="21"/>
              </w:rPr>
              <w:t>《</w:t>
            </w:r>
            <w:r>
              <w:rPr>
                <w:rFonts w:hint="eastAsia"/>
                <w:kern w:val="2"/>
                <w:sz w:val="21"/>
                <w:szCs w:val="21"/>
                <w:lang w:eastAsia="zh-CN"/>
              </w:rPr>
              <w:t>信息交流控制程序</w:t>
            </w:r>
            <w:r>
              <w:rPr>
                <w:rFonts w:hint="eastAsia"/>
                <w:kern w:val="2"/>
                <w:sz w:val="21"/>
                <w:szCs w:val="21"/>
              </w:rPr>
              <w:t>》</w:t>
            </w:r>
            <w:r>
              <w:rPr>
                <w:rFonts w:hint="eastAsia" w:cs="Arial"/>
                <w:kern w:val="2"/>
                <w:sz w:val="21"/>
                <w:szCs w:val="21"/>
              </w:rPr>
              <w:t>规定了公司内外信息交流、协商的对象、方式、记录等。</w:t>
            </w:r>
          </w:p>
          <w:p>
            <w:pPr>
              <w:pStyle w:val="9"/>
              <w:spacing w:line="360" w:lineRule="auto"/>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360" w:lineRule="auto"/>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360" w:lineRule="auto"/>
              <w:rPr>
                <w:rFonts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widowControl/>
              <w:spacing w:line="360" w:lineRule="auto"/>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360" w:lineRule="auto"/>
              <w:ind w:firstLine="315" w:firstLineChars="150"/>
              <w:rPr>
                <w:rFonts w:ascii="宋体" w:hAnsi="宋体" w:cs="Arial"/>
                <w:szCs w:val="21"/>
              </w:rPr>
            </w:pPr>
            <w:r>
              <w:rPr>
                <w:rFonts w:hint="eastAsia" w:ascii="宋体" w:hAnsi="宋体" w:cs="Arial"/>
                <w:szCs w:val="21"/>
              </w:rPr>
              <w:t>1）告知员工：环境管理者代表是郝巧凤、职业健康安全事务代表是刘坤杰。</w:t>
            </w:r>
          </w:p>
          <w:p>
            <w:pPr>
              <w:widowControl/>
              <w:spacing w:line="360" w:lineRule="auto"/>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2）告知员工：环境及职业健康安全管理体系建立的依据、标准和意义，因公司未涉及危化品，故未对全体员工出具告知书；</w:t>
            </w:r>
          </w:p>
          <w:p>
            <w:pPr>
              <w:widowControl/>
              <w:spacing w:line="360" w:lineRule="auto"/>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3）组织员工学习：与环境及安全健康管理有关的法律法规，包括《环境保护法》、《劳动合同法》、《设备安全管理制度》、《工伤保险条例》、《职业病防治法》等关于员工权益、保险等内容；</w:t>
            </w:r>
          </w:p>
          <w:p>
            <w:pPr>
              <w:widowControl/>
              <w:spacing w:line="360" w:lineRule="auto"/>
              <w:ind w:firstLine="315" w:firstLineChars="150"/>
              <w:rPr>
                <w:rFonts w:cs="Arial"/>
                <w:szCs w:val="21"/>
              </w:rPr>
            </w:pPr>
            <w:r>
              <w:rPr>
                <w:rFonts w:hint="eastAsia" w:ascii="宋体" w:hAnsi="宋体" w:cs="Arial"/>
                <w:szCs w:val="21"/>
              </w:rPr>
              <w:t>4）将环境管理、劳动保护要求、安全要求和意义作为新员工岗前培训内容。</w:t>
            </w:r>
          </w:p>
          <w:p>
            <w:pPr>
              <w:widowControl/>
              <w:spacing w:line="360" w:lineRule="auto"/>
              <w:jc w:val="left"/>
              <w:rPr>
                <w:rFonts w:ascii="宋体" w:hAnsi="宋体"/>
                <w:szCs w:val="21"/>
              </w:rPr>
            </w:pPr>
            <w:r>
              <w:rPr>
                <w:rFonts w:hint="eastAsia" w:ascii="宋体" w:hAnsi="宋体"/>
                <w:szCs w:val="21"/>
              </w:rPr>
              <w:t>审核时未发现有相关方投诉和环境安全违规情况发生。</w:t>
            </w:r>
          </w:p>
        </w:tc>
        <w:tc>
          <w:tcPr>
            <w:tcW w:w="1585" w:type="dxa"/>
          </w:tcPr>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szCs w:val="21"/>
              </w:rPr>
            </w:pPr>
            <w:r>
              <w:rPr>
                <w:rFonts w:hint="eastAsia" w:ascii="宋体" w:hAnsi="宋体" w:cs="新宋体"/>
                <w:szCs w:val="21"/>
              </w:rPr>
              <w:t>运行策划和控制</w:t>
            </w:r>
          </w:p>
        </w:tc>
        <w:tc>
          <w:tcPr>
            <w:tcW w:w="960" w:type="dxa"/>
          </w:tcPr>
          <w:p>
            <w:pPr>
              <w:jc w:val="left"/>
              <w:rPr>
                <w:rFonts w:hint="eastAsia" w:ascii="宋体" w:hAnsi="宋体" w:cs="新宋体"/>
                <w:szCs w:val="21"/>
              </w:rPr>
            </w:pPr>
          </w:p>
          <w:p>
            <w:pPr>
              <w:jc w:val="left"/>
              <w:rPr>
                <w:rFonts w:hint="eastAsia" w:ascii="宋体" w:hAnsi="宋体" w:cs="新宋体"/>
                <w:szCs w:val="21"/>
              </w:rPr>
            </w:pPr>
          </w:p>
          <w:p>
            <w:pPr>
              <w:jc w:val="left"/>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8.1 </w:t>
            </w:r>
          </w:p>
          <w:p>
            <w:pPr>
              <w:rPr>
                <w:rFonts w:ascii="宋体" w:hAnsi="宋体"/>
                <w:szCs w:val="21"/>
              </w:rPr>
            </w:pPr>
          </w:p>
        </w:tc>
        <w:tc>
          <w:tcPr>
            <w:tcW w:w="10004" w:type="dxa"/>
          </w:tcPr>
          <w:p>
            <w:pPr>
              <w:tabs>
                <w:tab w:val="left" w:pos="1080"/>
              </w:tabs>
              <w:spacing w:line="360" w:lineRule="auto"/>
              <w:rPr>
                <w:rFonts w:ascii="宋体"/>
                <w:color w:val="000000"/>
                <w:kern w:val="0"/>
                <w:szCs w:val="21"/>
              </w:rPr>
            </w:pPr>
            <w:r>
              <w:rPr>
                <w:rFonts w:hint="eastAsia" w:ascii="宋体"/>
                <w:color w:val="000000"/>
                <w:kern w:val="0"/>
                <w:szCs w:val="21"/>
              </w:rPr>
              <w:t xml:space="preserve">    在</w:t>
            </w:r>
            <w:r>
              <w:rPr>
                <w:rFonts w:hint="eastAsia" w:ascii="宋体"/>
                <w:color w:val="000000"/>
                <w:kern w:val="0"/>
                <w:szCs w:val="21"/>
                <w:lang w:eastAsia="zh-CN"/>
              </w:rPr>
              <w:t>制造部</w:t>
            </w:r>
            <w:r>
              <w:rPr>
                <w:rFonts w:hint="eastAsia" w:ascii="宋体"/>
                <w:color w:val="000000"/>
                <w:kern w:val="0"/>
                <w:szCs w:val="21"/>
              </w:rPr>
              <w:t>查看，提供有</w:t>
            </w:r>
            <w:r>
              <w:rPr>
                <w:rFonts w:hint="eastAsia" w:ascii="宋体" w:hAnsi="宋体"/>
                <w:szCs w:val="21"/>
              </w:rPr>
              <w:t>石墨烯导电复合加热膜的生产</w:t>
            </w:r>
            <w:r>
              <w:rPr>
                <w:rFonts w:hint="eastAsia"/>
                <w:bCs/>
                <w:szCs w:val="21"/>
              </w:rPr>
              <w:t>的</w:t>
            </w:r>
            <w:r>
              <w:rPr>
                <w:rFonts w:hint="eastAsia"/>
                <w:bCs/>
                <w:szCs w:val="21"/>
                <w:lang w:val="en-US" w:eastAsia="zh-CN"/>
              </w:rPr>
              <w:t>过程照片</w:t>
            </w:r>
            <w:r>
              <w:rPr>
                <w:rFonts w:hint="eastAsia"/>
                <w:bCs/>
                <w:szCs w:val="21"/>
              </w:rPr>
              <w:t>等，其</w:t>
            </w:r>
            <w:r>
              <w:rPr>
                <w:rFonts w:hint="eastAsia" w:ascii="宋体"/>
                <w:color w:val="000000"/>
                <w:kern w:val="0"/>
                <w:szCs w:val="21"/>
              </w:rPr>
              <w:t>认证范围处于正常经营情况。</w:t>
            </w:r>
          </w:p>
          <w:p>
            <w:pPr>
              <w:tabs>
                <w:tab w:val="left" w:pos="1080"/>
              </w:tabs>
              <w:spacing w:line="360" w:lineRule="auto"/>
              <w:ind w:firstLine="420" w:firstLineChars="200"/>
              <w:rPr>
                <w:rFonts w:ascii="宋体"/>
                <w:color w:val="000000"/>
                <w:kern w:val="0"/>
                <w:szCs w:val="21"/>
              </w:rPr>
            </w:pPr>
            <w:r>
              <w:rPr>
                <w:rFonts w:hint="eastAsia" w:ascii="宋体"/>
                <w:color w:val="000000"/>
                <w:kern w:val="0"/>
                <w:szCs w:val="21"/>
              </w:rPr>
              <w:t>在</w:t>
            </w:r>
            <w:r>
              <w:rPr>
                <w:rFonts w:hint="eastAsia" w:ascii="宋体"/>
                <w:color w:val="000000"/>
                <w:kern w:val="0"/>
                <w:szCs w:val="21"/>
                <w:lang w:eastAsia="zh-CN"/>
              </w:rPr>
              <w:t>制造部</w:t>
            </w:r>
            <w:r>
              <w:rPr>
                <w:rFonts w:hint="eastAsia" w:ascii="宋体"/>
                <w:color w:val="000000"/>
                <w:kern w:val="0"/>
                <w:szCs w:val="21"/>
              </w:rPr>
              <w:t>现场查看，</w:t>
            </w:r>
            <w:r>
              <w:rPr>
                <w:rFonts w:hint="eastAsia" w:ascii="宋体"/>
                <w:color w:val="000000"/>
                <w:kern w:val="0"/>
                <w:szCs w:val="21"/>
                <w:lang w:eastAsia="zh-CN"/>
              </w:rPr>
              <w:t>制造部</w:t>
            </w:r>
            <w:r>
              <w:rPr>
                <w:rFonts w:hint="eastAsia" w:ascii="宋体"/>
                <w:color w:val="000000"/>
                <w:kern w:val="0"/>
                <w:szCs w:val="21"/>
              </w:rPr>
              <w:t>重要环境因素有：</w:t>
            </w:r>
            <w:r>
              <w:rPr>
                <w:rFonts w:hint="eastAsia"/>
                <w:szCs w:val="21"/>
              </w:rPr>
              <w:t>固废排放、潜在火灾、噪声排放、废气排放、</w:t>
            </w:r>
            <w:r>
              <w:rPr>
                <w:rFonts w:hint="eastAsia"/>
                <w:szCs w:val="21"/>
                <w:lang w:val="en-US" w:eastAsia="zh-CN"/>
              </w:rPr>
              <w:t>生活</w:t>
            </w:r>
            <w:r>
              <w:rPr>
                <w:rFonts w:hint="eastAsia"/>
                <w:szCs w:val="21"/>
              </w:rPr>
              <w:t>废水排放。</w:t>
            </w:r>
          </w:p>
          <w:p>
            <w:pPr>
              <w:spacing w:line="360" w:lineRule="auto"/>
              <w:ind w:firstLine="420" w:firstLineChars="200"/>
              <w:rPr>
                <w:rFonts w:hint="eastAsia" w:ascii="宋体" w:hAnsi="Times New Roman" w:cs="Times New Roman"/>
                <w:color w:val="000000"/>
                <w:kern w:val="0"/>
                <w:szCs w:val="21"/>
              </w:rPr>
            </w:pPr>
            <w:r>
              <w:rPr>
                <w:rFonts w:hint="eastAsia" w:ascii="宋体"/>
                <w:color w:val="000000"/>
                <w:kern w:val="0"/>
                <w:szCs w:val="21"/>
                <w:lang w:eastAsia="zh-CN"/>
              </w:rPr>
              <w:t>制造部</w:t>
            </w:r>
            <w:r>
              <w:rPr>
                <w:rFonts w:hint="eastAsia" w:ascii="宋体"/>
                <w:color w:val="000000"/>
                <w:kern w:val="0"/>
                <w:szCs w:val="21"/>
              </w:rPr>
              <w:t>根据部门的重</w:t>
            </w:r>
            <w:r>
              <w:rPr>
                <w:rFonts w:hint="eastAsia" w:ascii="宋体" w:hAnsi="Times New Roman" w:cs="Times New Roman"/>
                <w:color w:val="000000"/>
                <w:kern w:val="0"/>
                <w:szCs w:val="21"/>
              </w:rPr>
              <w:t>要环境因素，策划的环境管理制度有：《</w:t>
            </w:r>
            <w:r>
              <w:rPr>
                <w:rFonts w:hint="eastAsia" w:ascii="宋体" w:hAnsi="Times New Roman" w:cs="Times New Roman"/>
                <w:color w:val="000000"/>
                <w:kern w:val="0"/>
                <w:szCs w:val="21"/>
                <w:lang w:eastAsia="zh-CN"/>
              </w:rPr>
              <w:t>应急准备与响应控制程序</w:t>
            </w:r>
            <w:r>
              <w:rPr>
                <w:rFonts w:hint="eastAsia" w:ascii="宋体" w:hAnsi="Times New Roman" w:cs="Times New Roman"/>
                <w:color w:val="000000"/>
                <w:kern w:val="0"/>
                <w:szCs w:val="21"/>
              </w:rPr>
              <w:t>》、《</w:t>
            </w:r>
            <w:r>
              <w:rPr>
                <w:rFonts w:hint="eastAsia" w:ascii="宋体" w:hAnsi="Times New Roman" w:cs="Times New Roman"/>
                <w:color w:val="000000"/>
                <w:kern w:val="0"/>
                <w:szCs w:val="21"/>
                <w:lang w:val="zh-CN"/>
              </w:rPr>
              <w:t>环境监测与测量控制程序</w:t>
            </w:r>
            <w:r>
              <w:rPr>
                <w:rFonts w:hint="eastAsia" w:ascii="宋体" w:hAnsi="Times New Roman" w:cs="Times New Roman"/>
                <w:color w:val="000000"/>
                <w:kern w:val="0"/>
                <w:szCs w:val="21"/>
              </w:rPr>
              <w:t>》</w:t>
            </w:r>
            <w:r>
              <w:rPr>
                <w:rFonts w:hint="eastAsia" w:ascii="宋体" w:hAnsi="Times New Roman" w:cs="Times New Roman"/>
                <w:color w:val="000000"/>
                <w:kern w:val="0"/>
                <w:szCs w:val="21"/>
                <w:lang w:eastAsia="zh-CN"/>
              </w:rPr>
              <w:t>、《</w:t>
            </w:r>
            <w:r>
              <w:rPr>
                <w:rFonts w:hint="eastAsia" w:ascii="宋体" w:hAnsi="Times New Roman" w:cs="Times New Roman"/>
                <w:color w:val="000000"/>
                <w:kern w:val="0"/>
                <w:szCs w:val="21"/>
                <w:lang w:val="zh-CN"/>
              </w:rPr>
              <w:t>职业健康安全绩效测量和监视控制程序</w:t>
            </w:r>
            <w:r>
              <w:rPr>
                <w:rFonts w:hint="eastAsia" w:ascii="宋体" w:hAnsi="Times New Roman" w:cs="Times New Roman"/>
                <w:color w:val="000000"/>
                <w:kern w:val="0"/>
                <w:szCs w:val="21"/>
                <w:lang w:eastAsia="zh-CN"/>
              </w:rPr>
              <w:t>》</w:t>
            </w:r>
            <w:r>
              <w:rPr>
                <w:rFonts w:hint="eastAsia" w:ascii="宋体" w:hAnsi="Times New Roman" w:cs="Times New Roman"/>
                <w:color w:val="000000"/>
                <w:kern w:val="0"/>
                <w:szCs w:val="21"/>
              </w:rPr>
              <w:t>、《消防安全管理制度》、《火灾应急措施》等。</w:t>
            </w:r>
          </w:p>
          <w:p>
            <w:pPr>
              <w:spacing w:line="360" w:lineRule="auto"/>
              <w:ind w:firstLine="420" w:firstLineChars="200"/>
              <w:rPr>
                <w:rFonts w:hint="default" w:ascii="宋体" w:hAnsi="宋体" w:eastAsia="宋体"/>
                <w:szCs w:val="21"/>
                <w:lang w:val="en-US" w:eastAsia="zh-CN"/>
              </w:rPr>
            </w:pPr>
            <w:r>
              <w:rPr>
                <w:rFonts w:hint="eastAsia" w:ascii="宋体"/>
                <w:color w:val="000000"/>
                <w:kern w:val="0"/>
                <w:szCs w:val="21"/>
                <w:lang w:val="en-US" w:eastAsia="zh-CN"/>
              </w:rPr>
              <w:t>视频</w:t>
            </w:r>
            <w:r>
              <w:rPr>
                <w:rFonts w:hint="eastAsia" w:ascii="宋体"/>
                <w:color w:val="000000"/>
                <w:kern w:val="0"/>
                <w:szCs w:val="21"/>
              </w:rPr>
              <w:t>查看，部门的服务内容主要有：</w:t>
            </w:r>
            <w:r>
              <w:rPr>
                <w:rFonts w:hint="eastAsia" w:ascii="宋体" w:hAnsi="宋体"/>
                <w:szCs w:val="21"/>
              </w:rPr>
              <w:t>石墨烯导电复合加热膜的生产。石墨烯导电复合加热膜产品实现流程：涂布-分切-老化-丝印-烘烤-光刻-贴电极-贴合正背保护膜-冲孔-铆接导线-端子绝缘-功能测试-外观检验-入库</w:t>
            </w:r>
            <w:r>
              <w:rPr>
                <w:rFonts w:hint="eastAsia" w:ascii="宋体" w:hAnsi="宋体"/>
                <w:szCs w:val="21"/>
                <w:lang w:eastAsia="zh-CN"/>
              </w:rPr>
              <w:t>。</w:t>
            </w:r>
            <w:r>
              <w:rPr>
                <w:rFonts w:hint="eastAsia" w:ascii="宋体" w:hAnsi="宋体"/>
                <w:szCs w:val="21"/>
                <w:lang w:val="en-US" w:eastAsia="zh-CN"/>
              </w:rPr>
              <w:t>各个关键过程均提供了生产的照片视频等。</w:t>
            </w:r>
          </w:p>
          <w:p>
            <w:pPr>
              <w:spacing w:line="360" w:lineRule="auto"/>
              <w:rPr>
                <w:rFonts w:ascii="宋体" w:hAnsi="宋体"/>
                <w:szCs w:val="21"/>
              </w:rPr>
            </w:pPr>
            <w:r>
              <w:rPr>
                <w:rFonts w:hint="eastAsia" w:ascii="宋体" w:hAnsi="宋体"/>
                <w:szCs w:val="21"/>
              </w:rPr>
              <w:t>1、固废排放管理：</w:t>
            </w:r>
          </w:p>
          <w:p>
            <w:pPr>
              <w:spacing w:line="360" w:lineRule="auto"/>
              <w:ind w:firstLine="420" w:firstLineChars="200"/>
              <w:rPr>
                <w:rFonts w:ascii="宋体" w:hAnsi="宋体"/>
                <w:szCs w:val="21"/>
              </w:rPr>
            </w:pPr>
            <w:r>
              <w:rPr>
                <w:rFonts w:hint="eastAsia" w:ascii="宋体" w:hAnsi="宋体"/>
                <w:szCs w:val="21"/>
              </w:rPr>
              <w:t>公司编制了《固体废弃物管理规定》，规定了办公和服务实施过程固废处理的管理要求。</w:t>
            </w:r>
          </w:p>
          <w:p>
            <w:pPr>
              <w:spacing w:line="360" w:lineRule="auto"/>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查，办公环节的主要固废为：废纸、废办公用品、以及生活垃圾等。现采取集中收集，交由环卫处理。</w:t>
            </w:r>
            <w:r>
              <w:rPr>
                <w:rFonts w:hint="eastAsia" w:ascii="宋体"/>
                <w:color w:val="000000"/>
                <w:kern w:val="0"/>
                <w:szCs w:val="21"/>
              </w:rPr>
              <w:t>在办公公共区域、市场楼层面内垃圾桶标识明确。</w:t>
            </w:r>
          </w:p>
          <w:p>
            <w:pPr>
              <w:spacing w:line="360" w:lineRule="auto"/>
              <w:ind w:firstLine="420" w:firstLineChars="200"/>
              <w:rPr>
                <w:rFonts w:ascii="宋体" w:hAnsi="宋体"/>
                <w:szCs w:val="21"/>
              </w:rPr>
            </w:pPr>
            <w:r>
              <w:rPr>
                <w:rFonts w:hint="eastAsia" w:ascii="宋体" w:hAnsi="宋体"/>
                <w:szCs w:val="21"/>
              </w:rPr>
              <w:t>石墨烯导电复合加热膜的生产过程的固废有：废擦拭纸、废抹布、废包装材料、废活性炭等。</w:t>
            </w:r>
          </w:p>
          <w:p>
            <w:pPr>
              <w:spacing w:line="360" w:lineRule="auto"/>
              <w:ind w:firstLine="420" w:firstLineChars="200"/>
              <w:rPr>
                <w:rFonts w:hint="eastAsia" w:ascii="宋体"/>
                <w:color w:val="000000"/>
                <w:kern w:val="0"/>
                <w:szCs w:val="21"/>
              </w:rPr>
            </w:pPr>
            <w:r>
              <w:rPr>
                <w:rFonts w:hint="eastAsia" w:ascii="宋体"/>
                <w:color w:val="000000"/>
                <w:kern w:val="0"/>
                <w:szCs w:val="21"/>
                <w:lang w:val="en-US" w:eastAsia="zh-CN"/>
              </w:rPr>
              <w:t>视频</w:t>
            </w:r>
            <w:r>
              <w:rPr>
                <w:rFonts w:hint="eastAsia" w:ascii="宋体"/>
                <w:color w:val="000000"/>
                <w:kern w:val="0"/>
                <w:szCs w:val="21"/>
              </w:rPr>
              <w:t>查看，在</w:t>
            </w:r>
            <w:r>
              <w:rPr>
                <w:rFonts w:hint="eastAsia" w:ascii="宋体"/>
                <w:color w:val="000000"/>
                <w:kern w:val="0"/>
                <w:szCs w:val="21"/>
                <w:lang w:val="en-US" w:eastAsia="zh-CN"/>
              </w:rPr>
              <w:t>生产</w:t>
            </w:r>
            <w:r>
              <w:rPr>
                <w:rFonts w:hint="eastAsia" w:ascii="宋体"/>
                <w:color w:val="000000"/>
                <w:kern w:val="0"/>
                <w:szCs w:val="21"/>
              </w:rPr>
              <w:t>现场，</w:t>
            </w:r>
            <w:r>
              <w:rPr>
                <w:rFonts w:hint="eastAsia" w:ascii="宋体" w:hAnsi="宋体"/>
                <w:szCs w:val="21"/>
              </w:rPr>
              <w:t>废擦拭纸、废抹布、废包装材料、废活性炭</w:t>
            </w:r>
            <w:r>
              <w:rPr>
                <w:rFonts w:hint="eastAsia" w:ascii="宋体"/>
                <w:color w:val="000000"/>
                <w:kern w:val="0"/>
                <w:szCs w:val="21"/>
              </w:rPr>
              <w:t>集中存放在放油桶</w:t>
            </w:r>
            <w:r>
              <w:rPr>
                <w:rFonts w:hint="eastAsia" w:ascii="宋体"/>
                <w:color w:val="000000"/>
                <w:kern w:val="0"/>
                <w:szCs w:val="21"/>
                <w:lang w:eastAsia="zh-CN"/>
              </w:rPr>
              <w:t>、</w:t>
            </w:r>
            <w:r>
              <w:rPr>
                <w:rFonts w:hint="eastAsia" w:ascii="宋体"/>
                <w:color w:val="000000"/>
                <w:kern w:val="0"/>
                <w:szCs w:val="21"/>
                <w:lang w:val="en-US" w:eastAsia="zh-CN"/>
              </w:rPr>
              <w:t>垃圾袋</w:t>
            </w:r>
            <w:r>
              <w:rPr>
                <w:rFonts w:hint="eastAsia" w:ascii="宋体"/>
                <w:color w:val="000000"/>
                <w:kern w:val="0"/>
                <w:szCs w:val="21"/>
              </w:rPr>
              <w:t>内，每半年或1年处理一次（交与有资质的公司），含油废物也是集中存放，定期交与有资质公司处理。查处理情况，签订有处理协议，提供最近的处理记录：提供《危险废物</w:t>
            </w:r>
            <w:r>
              <w:rPr>
                <w:rFonts w:hint="eastAsia" w:ascii="宋体"/>
                <w:color w:val="000000"/>
                <w:kern w:val="0"/>
                <w:szCs w:val="21"/>
                <w:lang w:val="en-US" w:eastAsia="zh-CN"/>
              </w:rPr>
              <w:t>委托处置合同</w:t>
            </w:r>
            <w:r>
              <w:rPr>
                <w:rFonts w:hint="eastAsia" w:ascii="宋体"/>
                <w:color w:val="000000"/>
                <w:kern w:val="0"/>
                <w:szCs w:val="21"/>
              </w:rPr>
              <w:t>》</w:t>
            </w:r>
            <w:r>
              <w:rPr>
                <w:rFonts w:hint="eastAsia" w:ascii="宋体"/>
                <w:color w:val="000000"/>
                <w:kern w:val="0"/>
                <w:szCs w:val="21"/>
                <w:lang w:val="en-US" w:eastAsia="zh-CN"/>
              </w:rPr>
              <w:t>及2021年度转移联单；</w:t>
            </w:r>
          </w:p>
          <w:p>
            <w:pPr>
              <w:spacing w:line="360" w:lineRule="auto"/>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360" w:lineRule="auto"/>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360" w:lineRule="auto"/>
              <w:ind w:firstLine="420" w:firstLineChars="200"/>
              <w:rPr>
                <w:rFonts w:ascii="宋体"/>
                <w:color w:val="000000"/>
                <w:kern w:val="0"/>
                <w:szCs w:val="21"/>
              </w:rPr>
            </w:pPr>
            <w:r>
              <w:rPr>
                <w:rFonts w:hint="eastAsia" w:ascii="宋体"/>
                <w:color w:val="000000"/>
                <w:kern w:val="0"/>
                <w:szCs w:val="21"/>
              </w:rPr>
              <w:t>查看，共用区域、办公楼层设置了消防栓、灭火器、应急报警器等，设施状态良好。</w:t>
            </w:r>
          </w:p>
          <w:p>
            <w:pPr>
              <w:spacing w:line="360" w:lineRule="auto"/>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360" w:lineRule="auto"/>
              <w:ind w:firstLine="420" w:firstLineChars="200"/>
              <w:rPr>
                <w:rFonts w:ascii="宋体"/>
                <w:color w:val="000000"/>
                <w:kern w:val="0"/>
                <w:szCs w:val="21"/>
              </w:rPr>
            </w:pPr>
            <w:r>
              <w:rPr>
                <w:rFonts w:hint="eastAsia" w:ascii="宋体"/>
                <w:color w:val="000000"/>
                <w:kern w:val="0"/>
                <w:szCs w:val="21"/>
              </w:rPr>
              <w:t>公司定期参加组织的消防培训和演练，</w:t>
            </w:r>
            <w:r>
              <w:rPr>
                <w:rFonts w:hint="eastAsia" w:ascii="宋体"/>
                <w:color w:val="000000"/>
                <w:kern w:val="0"/>
                <w:szCs w:val="21"/>
                <w:lang w:eastAsia="zh-CN"/>
              </w:rPr>
              <w:t>制造部</w:t>
            </w:r>
            <w:r>
              <w:rPr>
                <w:rFonts w:hint="eastAsia" w:ascii="宋体"/>
                <w:color w:val="000000"/>
                <w:kern w:val="0"/>
                <w:szCs w:val="21"/>
              </w:rPr>
              <w:t>主要岗位均参与。</w:t>
            </w:r>
          </w:p>
          <w:p>
            <w:pPr>
              <w:spacing w:line="360" w:lineRule="auto"/>
              <w:rPr>
                <w:rFonts w:ascii="宋体" w:hAnsi="宋体"/>
                <w:szCs w:val="21"/>
              </w:rPr>
            </w:pPr>
            <w:r>
              <w:rPr>
                <w:rFonts w:hint="eastAsia" w:ascii="宋体" w:hAnsi="宋体"/>
                <w:szCs w:val="21"/>
              </w:rPr>
              <w:t>3、废水排放：</w:t>
            </w:r>
          </w:p>
          <w:p>
            <w:pPr>
              <w:spacing w:line="360" w:lineRule="auto"/>
              <w:ind w:firstLine="420" w:firstLineChars="200"/>
              <w:rPr>
                <w:rFonts w:hint="default" w:ascii="宋体"/>
                <w:color w:val="0000FF"/>
                <w:kern w:val="0"/>
                <w:szCs w:val="21"/>
                <w:lang w:val="en-US" w:eastAsia="zh-CN"/>
              </w:rPr>
            </w:pPr>
            <w:r>
              <w:rPr>
                <w:rFonts w:hint="eastAsia" w:ascii="宋体" w:hAnsi="宋体"/>
                <w:szCs w:val="21"/>
              </w:rPr>
              <w:t>查看，</w:t>
            </w:r>
            <w:r>
              <w:rPr>
                <w:rFonts w:hint="eastAsia" w:ascii="宋体" w:hAnsi="宋体"/>
                <w:szCs w:val="21"/>
                <w:lang w:val="en-US" w:eastAsia="zh-CN"/>
              </w:rPr>
              <w:t>企业无生产废水,生活污水经西太湖科技产业园污水管道接管至市政污水管网,后进入城区污水处理厂处理达标后排放,污水接管口设置相应的标识牌;雨水排放口设置雨水排口标识牌。见如下环境检测报告。</w:t>
            </w:r>
          </w:p>
          <w:p>
            <w:pPr>
              <w:spacing w:line="400" w:lineRule="atLeast"/>
              <w:rPr>
                <w:rFonts w:ascii="宋体" w:hAnsi="宋体"/>
                <w:szCs w:val="21"/>
              </w:rPr>
            </w:pPr>
            <w:r>
              <w:rPr>
                <w:rFonts w:hint="eastAsia" w:ascii="宋体" w:hAnsi="宋体"/>
                <w:szCs w:val="21"/>
              </w:rPr>
              <w:t>4、废气、噪声排放：</w:t>
            </w:r>
          </w:p>
          <w:p>
            <w:pPr>
              <w:spacing w:line="360" w:lineRule="auto"/>
              <w:ind w:firstLine="420" w:firstLineChars="200"/>
              <w:rPr>
                <w:rFonts w:hint="eastAsia" w:ascii="宋体" w:hAnsi="宋体" w:cs="Times New Roman"/>
                <w:szCs w:val="21"/>
              </w:rPr>
            </w:pPr>
            <w:r>
              <w:rPr>
                <w:rFonts w:hint="eastAsia" w:ascii="宋体" w:hAnsi="宋体" w:cs="Times New Roman"/>
                <w:szCs w:val="21"/>
              </w:rPr>
              <w:t>目涂布、老化、丝印和银浆固化过程中产生的有机废气经分别收集后一同进二级活性炭吸附装置进行处理,处理后尾气通过15m高排气筒1#高空排放。在线监测装置环评及批复未作规定,无需设置。废气排放标准执行《大气污染物综合排放标准》(GB16297- 1996)中有关标准。</w:t>
            </w:r>
          </w:p>
          <w:p>
            <w:pPr>
              <w:spacing w:line="360" w:lineRule="auto"/>
              <w:ind w:firstLine="420" w:firstLineChars="200"/>
              <w:rPr>
                <w:rFonts w:hint="eastAsia" w:ascii="宋体" w:hAnsi="宋体" w:cs="Times New Roman"/>
                <w:szCs w:val="21"/>
              </w:rPr>
            </w:pPr>
            <w:r>
              <w:rPr>
                <w:rFonts w:hint="eastAsia" w:ascii="宋体" w:hAnsi="宋体" w:cs="Times New Roman"/>
                <w:szCs w:val="21"/>
              </w:rPr>
              <w:t>目噪声主要为设备运行中产生的噪声。通过合理布置生产车间和设备的位置,采取隔声减震措施,生产车间密闭,使厂界噪声达标。风机采用隔声罩隔声,使厂界噪声达标。厂界噪声执行《工业企业厂界环境噪声排放标准》(GB12348-20O8)中3类标准。</w:t>
            </w:r>
          </w:p>
          <w:p>
            <w:pPr>
              <w:spacing w:line="400" w:lineRule="atLeast"/>
              <w:ind w:firstLine="420" w:firstLineChars="200"/>
              <w:rPr>
                <w:rFonts w:hint="eastAsia" w:ascii="宋体" w:hAnsi="宋体"/>
                <w:szCs w:val="21"/>
              </w:rPr>
            </w:pPr>
            <w:r>
              <w:drawing>
                <wp:anchor distT="0" distB="0" distL="114300" distR="114300" simplePos="0" relativeHeight="251660288" behindDoc="0" locked="0" layoutInCell="1" allowOverlap="1">
                  <wp:simplePos x="0" y="0"/>
                  <wp:positionH relativeFrom="column">
                    <wp:posOffset>1958975</wp:posOffset>
                  </wp:positionH>
                  <wp:positionV relativeFrom="paragraph">
                    <wp:posOffset>186690</wp:posOffset>
                  </wp:positionV>
                  <wp:extent cx="2001520" cy="2713355"/>
                  <wp:effectExtent l="0" t="0" r="5080" b="4445"/>
                  <wp:wrapNone/>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6"/>
                          <a:stretch>
                            <a:fillRect/>
                          </a:stretch>
                        </pic:blipFill>
                        <pic:spPr>
                          <a:xfrm>
                            <a:off x="0" y="0"/>
                            <a:ext cx="2001520" cy="271335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-10795</wp:posOffset>
                  </wp:positionH>
                  <wp:positionV relativeFrom="paragraph">
                    <wp:posOffset>183515</wp:posOffset>
                  </wp:positionV>
                  <wp:extent cx="1931670" cy="2728595"/>
                  <wp:effectExtent l="0" t="0" r="11430" b="1905"/>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7"/>
                          <a:stretch>
                            <a:fillRect/>
                          </a:stretch>
                        </pic:blipFill>
                        <pic:spPr>
                          <a:xfrm>
                            <a:off x="0" y="0"/>
                            <a:ext cx="1931670" cy="2728595"/>
                          </a:xfrm>
                          <a:prstGeom prst="rect">
                            <a:avLst/>
                          </a:prstGeom>
                          <a:noFill/>
                          <a:ln>
                            <a:noFill/>
                          </a:ln>
                        </pic:spPr>
                      </pic:pic>
                    </a:graphicData>
                  </a:graphic>
                </wp:anchor>
              </w:drawing>
            </w:r>
          </w:p>
          <w:p>
            <w:pPr>
              <w:spacing w:line="400" w:lineRule="atLeast"/>
              <w:ind w:firstLine="420" w:firstLineChars="200"/>
              <w:rPr>
                <w:rFonts w:hint="eastAsia" w:ascii="宋体" w:hAnsi="宋体"/>
                <w:szCs w:val="21"/>
              </w:rPr>
            </w:pPr>
          </w:p>
          <w:p>
            <w:pPr>
              <w:spacing w:line="400" w:lineRule="atLeast"/>
              <w:ind w:firstLine="420" w:firstLineChars="200"/>
              <w:rPr>
                <w:rFonts w:hint="eastAsia" w:ascii="宋体" w:hAnsi="宋体"/>
                <w:szCs w:val="21"/>
              </w:rPr>
            </w:pPr>
          </w:p>
          <w:p>
            <w:pPr>
              <w:spacing w:line="360" w:lineRule="auto"/>
              <w:ind w:firstLine="420" w:firstLineChars="200"/>
              <w:rPr>
                <w:rFonts w:hint="eastAsia" w:ascii="宋体"/>
                <w:kern w:val="0"/>
                <w:szCs w:val="21"/>
              </w:rPr>
            </w:pPr>
          </w:p>
          <w:p>
            <w:pPr>
              <w:spacing w:line="360" w:lineRule="auto"/>
              <w:ind w:firstLine="420" w:firstLineChars="200"/>
              <w:rPr>
                <w:rFonts w:hint="eastAsia" w:ascii="宋体"/>
                <w:kern w:val="0"/>
                <w:szCs w:val="21"/>
              </w:rPr>
            </w:pPr>
          </w:p>
          <w:p>
            <w:pPr>
              <w:spacing w:line="360" w:lineRule="auto"/>
              <w:ind w:firstLine="420" w:firstLineChars="200"/>
              <w:rPr>
                <w:rFonts w:hint="eastAsia" w:ascii="宋体"/>
                <w:kern w:val="0"/>
                <w:szCs w:val="21"/>
              </w:rPr>
            </w:pPr>
          </w:p>
          <w:p>
            <w:pPr>
              <w:pStyle w:val="2"/>
              <w:rPr>
                <w:rFonts w:hint="eastAsia" w:ascii="宋体"/>
                <w:kern w:val="0"/>
                <w:szCs w:val="21"/>
              </w:rPr>
            </w:pPr>
          </w:p>
          <w:p>
            <w:pPr>
              <w:pStyle w:val="3"/>
              <w:rPr>
                <w:rFonts w:hint="eastAsia" w:ascii="宋体"/>
                <w:kern w:val="0"/>
                <w:szCs w:val="21"/>
              </w:rPr>
            </w:pPr>
          </w:p>
          <w:p>
            <w:pPr>
              <w:pStyle w:val="3"/>
              <w:rPr>
                <w:rFonts w:hint="eastAsia" w:ascii="宋体"/>
                <w:kern w:val="0"/>
                <w:szCs w:val="21"/>
              </w:rPr>
            </w:pPr>
          </w:p>
          <w:p>
            <w:pPr>
              <w:pStyle w:val="3"/>
              <w:rPr>
                <w:rFonts w:hint="eastAsia" w:ascii="宋体"/>
                <w:kern w:val="0"/>
                <w:szCs w:val="21"/>
              </w:rPr>
            </w:pPr>
          </w:p>
          <w:p>
            <w:pPr>
              <w:spacing w:line="360" w:lineRule="auto"/>
              <w:rPr>
                <w:rFonts w:hint="eastAsia" w:ascii="宋体"/>
                <w:kern w:val="0"/>
                <w:szCs w:val="21"/>
              </w:rPr>
            </w:pPr>
          </w:p>
          <w:p>
            <w:pPr>
              <w:spacing w:line="360" w:lineRule="auto"/>
              <w:ind w:firstLine="420" w:firstLineChars="200"/>
              <w:rPr>
                <w:rFonts w:ascii="宋体"/>
                <w:kern w:val="0"/>
                <w:szCs w:val="21"/>
              </w:rPr>
            </w:pPr>
            <w:r>
              <w:rPr>
                <w:rFonts w:hint="eastAsia" w:ascii="宋体"/>
                <w:kern w:val="0"/>
                <w:szCs w:val="21"/>
              </w:rPr>
              <w:t>对于相关方环境影响，公司的主要环境管理相关方有：业主、外来人员。</w:t>
            </w:r>
          </w:p>
          <w:p>
            <w:pPr>
              <w:spacing w:line="360" w:lineRule="auto"/>
              <w:ind w:firstLine="420" w:firstLineChars="200"/>
              <w:rPr>
                <w:rFonts w:ascii="宋体" w:hAnsi="宋体" w:cs="宋体"/>
                <w:szCs w:val="21"/>
              </w:rPr>
            </w:pPr>
            <w:r>
              <w:rPr>
                <w:rFonts w:hint="eastAsia" w:ascii="宋体"/>
                <w:color w:val="000000"/>
                <w:kern w:val="0"/>
                <w:szCs w:val="21"/>
                <w:lang w:eastAsia="zh-CN"/>
              </w:rPr>
              <w:t>制造部</w:t>
            </w:r>
            <w:r>
              <w:rPr>
                <w:rFonts w:hint="eastAsia" w:ascii="宋体"/>
                <w:color w:val="000000"/>
                <w:kern w:val="0"/>
                <w:szCs w:val="21"/>
              </w:rPr>
              <w:t>环境控制措施基本与管理要求基本一致，基本符合管理要求。</w:t>
            </w:r>
          </w:p>
        </w:tc>
        <w:tc>
          <w:tcPr>
            <w:tcW w:w="1585" w:type="dxa"/>
          </w:tcPr>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spacing w:line="360" w:lineRule="auto"/>
              <w:jc w:val="center"/>
              <w:rPr>
                <w:rFonts w:hint="eastAsia" w:ascii="宋体" w:hAnsi="宋体" w:cs="新宋体"/>
                <w:szCs w:val="21"/>
              </w:rPr>
            </w:pPr>
          </w:p>
          <w:p>
            <w:pPr>
              <w:adjustRightInd w:val="0"/>
              <w:snapToGrid w:val="0"/>
              <w:spacing w:line="360" w:lineRule="auto"/>
              <w:jc w:val="center"/>
              <w:rPr>
                <w:rFonts w:ascii="宋体" w:hAnsi="宋体"/>
                <w:szCs w:val="21"/>
              </w:rPr>
            </w:pPr>
            <w:r>
              <w:rPr>
                <w:rFonts w:hint="eastAsia" w:ascii="宋体" w:hAnsi="宋体" w:cs="新宋体"/>
                <w:szCs w:val="21"/>
              </w:rPr>
              <w:t>应急准备和响应</w:t>
            </w:r>
          </w:p>
        </w:tc>
        <w:tc>
          <w:tcPr>
            <w:tcW w:w="960" w:type="dxa"/>
          </w:tcPr>
          <w:p>
            <w:pPr>
              <w:spacing w:line="360" w:lineRule="auto"/>
              <w:rPr>
                <w:rFonts w:ascii="宋体" w:hAnsi="宋体"/>
                <w:szCs w:val="21"/>
              </w:rPr>
            </w:pPr>
            <w:r>
              <w:rPr>
                <w:rFonts w:hint="eastAsia" w:ascii="宋体" w:hAnsi="宋体" w:cs="新宋体"/>
                <w:szCs w:val="21"/>
              </w:rPr>
              <w:t>E8.2</w:t>
            </w:r>
          </w:p>
        </w:tc>
        <w:tc>
          <w:tcPr>
            <w:tcW w:w="10004" w:type="dxa"/>
          </w:tcPr>
          <w:p>
            <w:pPr>
              <w:spacing w:line="360" w:lineRule="auto"/>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应急准备与响应控制程序</w:t>
            </w:r>
            <w:r>
              <w:rPr>
                <w:rFonts w:hint="eastAsia" w:ascii="宋体" w:hAnsi="宋体" w:cs="宋体"/>
                <w:szCs w:val="21"/>
              </w:rPr>
              <w:t>》、《消防应急预案》、《机械伤害事故现场处理方案》等。</w:t>
            </w:r>
          </w:p>
          <w:p>
            <w:pPr>
              <w:spacing w:line="360" w:lineRule="auto"/>
              <w:rPr>
                <w:rFonts w:hint="eastAsia" w:ascii="宋体" w:hAnsi="宋体" w:cs="宋体"/>
                <w:szCs w:val="21"/>
              </w:rPr>
            </w:pPr>
            <w:r>
              <w:rPr>
                <w:rFonts w:hint="eastAsia" w:ascii="宋体" w:hAnsi="宋体" w:cs="宋体"/>
                <w:szCs w:val="21"/>
              </w:rPr>
              <w:t>查见：消防演练实况记录：公司全体人员参加了</w:t>
            </w:r>
            <w:r>
              <w:rPr>
                <w:rFonts w:hint="eastAsia" w:ascii="宋体" w:hAnsi="宋体" w:cs="宋体"/>
                <w:szCs w:val="21"/>
                <w:lang w:eastAsia="zh-CN"/>
              </w:rPr>
              <w:t>2021年6月18日</w:t>
            </w:r>
            <w:r>
              <w:rPr>
                <w:rFonts w:hint="eastAsia" w:ascii="宋体" w:hAnsi="宋体" w:cs="宋体"/>
                <w:szCs w:val="21"/>
              </w:rPr>
              <w:t>由</w:t>
            </w:r>
            <w:r>
              <w:rPr>
                <w:rFonts w:hint="eastAsia" w:ascii="宋体" w:hAnsi="宋体" w:cs="宋体"/>
                <w:szCs w:val="21"/>
                <w:lang w:eastAsia="zh-CN"/>
              </w:rPr>
              <w:t>综合管理部</w:t>
            </w:r>
            <w:r>
              <w:rPr>
                <w:rFonts w:hint="eastAsia" w:ascii="宋体" w:hAnsi="宋体" w:cs="宋体"/>
                <w:szCs w:val="21"/>
              </w:rPr>
              <w:t>组织的火灾消防演练。</w:t>
            </w:r>
          </w:p>
          <w:p>
            <w:pPr>
              <w:spacing w:line="360" w:lineRule="auto"/>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提供2022年3月9日 《环境、安全应急预案培训》记录。</w:t>
            </w:r>
          </w:p>
          <w:p>
            <w:pPr>
              <w:spacing w:line="360" w:lineRule="auto"/>
              <w:rPr>
                <w:rFonts w:hint="eastAsia"/>
              </w:rPr>
            </w:pPr>
            <w:r>
              <w:rPr>
                <w:rFonts w:hint="eastAsia"/>
                <w:lang w:val="en-US" w:eastAsia="zh-CN"/>
              </w:rPr>
              <w:t>2022年还未进行</w:t>
            </w:r>
            <w:r>
              <w:rPr>
                <w:rFonts w:hint="eastAsia"/>
              </w:rPr>
              <w:t>火灾消防演练</w:t>
            </w:r>
            <w:r>
              <w:rPr>
                <w:rFonts w:hint="eastAsia"/>
                <w:lang w:eastAsia="zh-CN"/>
              </w:rPr>
              <w:t>，</w:t>
            </w:r>
            <w:r>
              <w:rPr>
                <w:rFonts w:hint="eastAsia"/>
                <w:lang w:val="en-US" w:eastAsia="zh-CN"/>
              </w:rPr>
              <w:t>计划在2022年8月进行</w:t>
            </w:r>
            <w:r>
              <w:rPr>
                <w:rFonts w:hint="eastAsia"/>
              </w:rPr>
              <w:t>。</w:t>
            </w:r>
          </w:p>
          <w:p>
            <w:pPr>
              <w:spacing w:line="360" w:lineRule="auto"/>
              <w:rPr>
                <w:rFonts w:hint="eastAsia"/>
                <w:lang w:eastAsia="zh-CN"/>
              </w:rPr>
            </w:pPr>
            <w:r>
              <w:rPr>
                <w:rFonts w:hint="eastAsia"/>
              </w:rPr>
              <w:t>应急准备：在公司办公区域，按要求配置灭火器。</w:t>
            </w:r>
          </w:p>
          <w:p>
            <w:pPr>
              <w:pStyle w:val="3"/>
              <w:rPr>
                <w:rFonts w:hint="eastAsia" w:eastAsia="宋体" w:cs="宋体"/>
                <w:szCs w:val="21"/>
                <w:lang w:eastAsia="zh-CN"/>
              </w:rPr>
            </w:pPr>
            <w:r>
              <w:rPr>
                <w:rFonts w:hint="eastAsia" w:ascii="宋体" w:eastAsia="宋体"/>
                <w:color w:val="000000"/>
                <w:kern w:val="0"/>
                <w:szCs w:val="21"/>
                <w:lang w:eastAsia="zh-CN"/>
              </w:rPr>
              <w:drawing>
                <wp:anchor distT="0" distB="0" distL="114300" distR="114300" simplePos="0" relativeHeight="251663360" behindDoc="0" locked="0" layoutInCell="1" allowOverlap="1">
                  <wp:simplePos x="0" y="0"/>
                  <wp:positionH relativeFrom="column">
                    <wp:posOffset>44450</wp:posOffset>
                  </wp:positionH>
                  <wp:positionV relativeFrom="paragraph">
                    <wp:posOffset>95885</wp:posOffset>
                  </wp:positionV>
                  <wp:extent cx="2867660" cy="2150745"/>
                  <wp:effectExtent l="0" t="0" r="2540" b="8255"/>
                  <wp:wrapNone/>
                  <wp:docPr id="18" name="图片 18" descr="84ccab9f914f613954e7be4f6a6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84ccab9f914f613954e7be4f6a69605"/>
                          <pic:cNvPicPr>
                            <a:picLocks noChangeAspect="1"/>
                          </pic:cNvPicPr>
                        </pic:nvPicPr>
                        <pic:blipFill>
                          <a:blip r:embed="rId8"/>
                          <a:stretch>
                            <a:fillRect/>
                          </a:stretch>
                        </pic:blipFill>
                        <pic:spPr>
                          <a:xfrm>
                            <a:off x="0" y="0"/>
                            <a:ext cx="2867660" cy="2150745"/>
                          </a:xfrm>
                          <a:prstGeom prst="rect">
                            <a:avLst/>
                          </a:prstGeom>
                        </pic:spPr>
                      </pic:pic>
                    </a:graphicData>
                  </a:graphic>
                </wp:anchor>
              </w:drawing>
            </w:r>
          </w:p>
          <w:p>
            <w:pPr>
              <w:pStyle w:val="3"/>
              <w:rPr>
                <w:rFonts w:hint="eastAsia" w:eastAsia="宋体" w:cs="宋体"/>
                <w:szCs w:val="21"/>
                <w:lang w:eastAsia="zh-CN"/>
              </w:rPr>
            </w:pPr>
          </w:p>
          <w:p>
            <w:pPr>
              <w:pStyle w:val="3"/>
              <w:rPr>
                <w:rFonts w:hint="eastAsia" w:eastAsia="宋体" w:cs="宋体"/>
                <w:szCs w:val="21"/>
                <w:lang w:eastAsia="zh-CN"/>
              </w:rPr>
            </w:pPr>
          </w:p>
          <w:p>
            <w:pPr>
              <w:pStyle w:val="3"/>
              <w:rPr>
                <w:rFonts w:hint="eastAsia" w:eastAsia="宋体" w:cs="宋体"/>
                <w:szCs w:val="21"/>
                <w:lang w:eastAsia="zh-CN"/>
              </w:rPr>
            </w:pPr>
          </w:p>
          <w:p>
            <w:pPr>
              <w:pStyle w:val="3"/>
              <w:rPr>
                <w:rFonts w:hint="eastAsia" w:eastAsia="宋体" w:cs="宋体"/>
                <w:szCs w:val="21"/>
                <w:lang w:eastAsia="zh-CN"/>
              </w:rPr>
            </w:pPr>
          </w:p>
          <w:p>
            <w:pPr>
              <w:pStyle w:val="3"/>
              <w:rPr>
                <w:rFonts w:hint="eastAsia" w:eastAsia="宋体" w:cs="宋体"/>
                <w:szCs w:val="21"/>
                <w:lang w:eastAsia="zh-CN"/>
              </w:rPr>
            </w:pPr>
          </w:p>
          <w:p>
            <w:pPr>
              <w:pStyle w:val="3"/>
              <w:rPr>
                <w:rFonts w:hint="eastAsia" w:eastAsia="宋体" w:cs="宋体"/>
                <w:szCs w:val="21"/>
                <w:lang w:eastAsia="zh-CN"/>
              </w:rPr>
            </w:pPr>
          </w:p>
          <w:p>
            <w:pPr>
              <w:pStyle w:val="3"/>
              <w:rPr>
                <w:rFonts w:hint="eastAsia" w:eastAsia="宋体" w:cs="宋体"/>
                <w:szCs w:val="21"/>
                <w:lang w:eastAsia="zh-CN"/>
              </w:rPr>
            </w:pPr>
          </w:p>
          <w:p>
            <w:pPr>
              <w:pStyle w:val="3"/>
              <w:rPr>
                <w:rFonts w:hint="eastAsia" w:eastAsia="宋体" w:cs="宋体"/>
                <w:szCs w:val="21"/>
                <w:lang w:eastAsia="zh-CN"/>
              </w:rPr>
            </w:pPr>
          </w:p>
          <w:p>
            <w:pPr>
              <w:pStyle w:val="3"/>
              <w:ind w:left="0" w:leftChars="0" w:firstLine="0" w:firstLineChars="0"/>
              <w:rPr>
                <w:rFonts w:hint="eastAsia" w:eastAsia="宋体" w:cs="宋体"/>
                <w:szCs w:val="21"/>
                <w:lang w:eastAsia="zh-CN"/>
              </w:rPr>
            </w:pPr>
          </w:p>
        </w:tc>
        <w:tc>
          <w:tcPr>
            <w:tcW w:w="1585" w:type="dxa"/>
          </w:tcPr>
          <w:p/>
        </w:tc>
      </w:tr>
    </w:tbl>
    <w:p>
      <w:pPr>
        <w:pStyle w:val="7"/>
        <w:rPr>
          <w:rFonts w:hint="eastAsia"/>
        </w:rPr>
      </w:pPr>
      <w:r>
        <w:rPr>
          <w:rFonts w:hint="eastAsia"/>
        </w:rPr>
        <w:t>说明：不符合标注N</w:t>
      </w:r>
    </w:p>
    <w:p>
      <w:pPr>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59264;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pPr>
                  <w:rPr>
                    <w:sz w:val="18"/>
                    <w:szCs w:val="18"/>
                  </w:rPr>
                </w:pPr>
                <w:r>
                  <w:rPr>
                    <w:rFonts w:hint="eastAsia"/>
                    <w:sz w:val="18"/>
                    <w:szCs w:val="18"/>
                  </w:rPr>
                  <w:t>ISC-B-II-12(05版）</w:t>
                </w:r>
              </w:p>
              <w:p>
                <w:r>
                  <w:rPr>
                    <w:rFonts w:hint="eastAsia"/>
                    <w:sz w:val="18"/>
                    <w:szCs w:val="18"/>
                  </w:rPr>
                  <w:t>体系审核记录表(03版)</w:t>
                </w:r>
              </w:p>
            </w:txbxContent>
          </v:textbox>
        </v:shape>
      </w:pict>
    </w: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9973B4"/>
    <w:rsid w:val="000237F6"/>
    <w:rsid w:val="0003373A"/>
    <w:rsid w:val="000400E2"/>
    <w:rsid w:val="00044938"/>
    <w:rsid w:val="00060DB5"/>
    <w:rsid w:val="00062E46"/>
    <w:rsid w:val="000A117D"/>
    <w:rsid w:val="000D444F"/>
    <w:rsid w:val="000F7E9A"/>
    <w:rsid w:val="001051B2"/>
    <w:rsid w:val="0012230C"/>
    <w:rsid w:val="001252E4"/>
    <w:rsid w:val="00140BCF"/>
    <w:rsid w:val="001A2D7F"/>
    <w:rsid w:val="001B0609"/>
    <w:rsid w:val="001B0710"/>
    <w:rsid w:val="00220BCF"/>
    <w:rsid w:val="002939AD"/>
    <w:rsid w:val="002B49AE"/>
    <w:rsid w:val="002C77F4"/>
    <w:rsid w:val="002D3EA2"/>
    <w:rsid w:val="002F2C89"/>
    <w:rsid w:val="0030393B"/>
    <w:rsid w:val="00337922"/>
    <w:rsid w:val="00340867"/>
    <w:rsid w:val="00380837"/>
    <w:rsid w:val="003841C3"/>
    <w:rsid w:val="003A198A"/>
    <w:rsid w:val="003B547B"/>
    <w:rsid w:val="003F6DD5"/>
    <w:rsid w:val="003F71F5"/>
    <w:rsid w:val="003F7394"/>
    <w:rsid w:val="00410914"/>
    <w:rsid w:val="00431CC1"/>
    <w:rsid w:val="004A1359"/>
    <w:rsid w:val="004C780B"/>
    <w:rsid w:val="00536930"/>
    <w:rsid w:val="00564E53"/>
    <w:rsid w:val="005C787A"/>
    <w:rsid w:val="005D5659"/>
    <w:rsid w:val="00600C20"/>
    <w:rsid w:val="0062745C"/>
    <w:rsid w:val="00644FE2"/>
    <w:rsid w:val="00652A39"/>
    <w:rsid w:val="0067640C"/>
    <w:rsid w:val="006E678B"/>
    <w:rsid w:val="00712C5E"/>
    <w:rsid w:val="00730DFA"/>
    <w:rsid w:val="007365FC"/>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2337D"/>
    <w:rsid w:val="00C51A36"/>
    <w:rsid w:val="00C55228"/>
    <w:rsid w:val="00CA5FEF"/>
    <w:rsid w:val="00CA7743"/>
    <w:rsid w:val="00CB00B0"/>
    <w:rsid w:val="00CB3AF9"/>
    <w:rsid w:val="00CC1597"/>
    <w:rsid w:val="00CC3305"/>
    <w:rsid w:val="00CE315A"/>
    <w:rsid w:val="00D03BCF"/>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1F34B2A"/>
    <w:rsid w:val="0212048F"/>
    <w:rsid w:val="0265452A"/>
    <w:rsid w:val="02A807E2"/>
    <w:rsid w:val="030B7C36"/>
    <w:rsid w:val="035F2BD3"/>
    <w:rsid w:val="03C42820"/>
    <w:rsid w:val="03F57016"/>
    <w:rsid w:val="03FD4FF6"/>
    <w:rsid w:val="048D3FEA"/>
    <w:rsid w:val="04BB696A"/>
    <w:rsid w:val="04C90F2B"/>
    <w:rsid w:val="06654179"/>
    <w:rsid w:val="06F10483"/>
    <w:rsid w:val="077060BE"/>
    <w:rsid w:val="079A405D"/>
    <w:rsid w:val="07DF2AFF"/>
    <w:rsid w:val="07EB0834"/>
    <w:rsid w:val="080B0578"/>
    <w:rsid w:val="08980FB9"/>
    <w:rsid w:val="08A0169E"/>
    <w:rsid w:val="091B037C"/>
    <w:rsid w:val="09E977BC"/>
    <w:rsid w:val="0A1509E2"/>
    <w:rsid w:val="0A27192F"/>
    <w:rsid w:val="0A8C70F6"/>
    <w:rsid w:val="0AAE0902"/>
    <w:rsid w:val="0ADF2004"/>
    <w:rsid w:val="0AEF36DC"/>
    <w:rsid w:val="0AF04256"/>
    <w:rsid w:val="0B411E3E"/>
    <w:rsid w:val="0B652E76"/>
    <w:rsid w:val="0B7966D4"/>
    <w:rsid w:val="0B957B1A"/>
    <w:rsid w:val="0B980C6D"/>
    <w:rsid w:val="0B9A31A0"/>
    <w:rsid w:val="0BBE41E0"/>
    <w:rsid w:val="0BEB7F69"/>
    <w:rsid w:val="0C201563"/>
    <w:rsid w:val="0CDC7355"/>
    <w:rsid w:val="0D491409"/>
    <w:rsid w:val="0D497365"/>
    <w:rsid w:val="0D7D62F5"/>
    <w:rsid w:val="0DA0219A"/>
    <w:rsid w:val="0DB52164"/>
    <w:rsid w:val="0DC01CFD"/>
    <w:rsid w:val="0DE75FA2"/>
    <w:rsid w:val="0E9F071A"/>
    <w:rsid w:val="0EB068FA"/>
    <w:rsid w:val="0ECE14E4"/>
    <w:rsid w:val="0F314117"/>
    <w:rsid w:val="10085BB1"/>
    <w:rsid w:val="1017085D"/>
    <w:rsid w:val="10240207"/>
    <w:rsid w:val="10276BE9"/>
    <w:rsid w:val="105240D8"/>
    <w:rsid w:val="108219C2"/>
    <w:rsid w:val="109C41F6"/>
    <w:rsid w:val="10D76028"/>
    <w:rsid w:val="10DB16FB"/>
    <w:rsid w:val="1113224B"/>
    <w:rsid w:val="11712337"/>
    <w:rsid w:val="11D5395F"/>
    <w:rsid w:val="121467D1"/>
    <w:rsid w:val="1229456B"/>
    <w:rsid w:val="12330544"/>
    <w:rsid w:val="126F600C"/>
    <w:rsid w:val="128D1E4D"/>
    <w:rsid w:val="12D95375"/>
    <w:rsid w:val="132216DA"/>
    <w:rsid w:val="13D53507"/>
    <w:rsid w:val="13ED6C52"/>
    <w:rsid w:val="141C3600"/>
    <w:rsid w:val="142F0875"/>
    <w:rsid w:val="14EE56DB"/>
    <w:rsid w:val="15135E98"/>
    <w:rsid w:val="16772BD8"/>
    <w:rsid w:val="16867BEB"/>
    <w:rsid w:val="16BA6C31"/>
    <w:rsid w:val="17FD3326"/>
    <w:rsid w:val="185D6041"/>
    <w:rsid w:val="18B94195"/>
    <w:rsid w:val="19272344"/>
    <w:rsid w:val="19B46AE7"/>
    <w:rsid w:val="19ED09D0"/>
    <w:rsid w:val="1A9904CA"/>
    <w:rsid w:val="1AFD5E38"/>
    <w:rsid w:val="1B41023F"/>
    <w:rsid w:val="1BB100F1"/>
    <w:rsid w:val="1BD05128"/>
    <w:rsid w:val="1CC22FD1"/>
    <w:rsid w:val="1CE967C9"/>
    <w:rsid w:val="1D94647B"/>
    <w:rsid w:val="1E3C6945"/>
    <w:rsid w:val="1EA57087"/>
    <w:rsid w:val="1F610382"/>
    <w:rsid w:val="1FBF5445"/>
    <w:rsid w:val="1FC23CBE"/>
    <w:rsid w:val="1FF507B4"/>
    <w:rsid w:val="20DB4B26"/>
    <w:rsid w:val="211900A0"/>
    <w:rsid w:val="212C697B"/>
    <w:rsid w:val="214E7353"/>
    <w:rsid w:val="21BF0EAB"/>
    <w:rsid w:val="220E793D"/>
    <w:rsid w:val="229445FE"/>
    <w:rsid w:val="22ED0401"/>
    <w:rsid w:val="23247A1A"/>
    <w:rsid w:val="236031B8"/>
    <w:rsid w:val="238F65CE"/>
    <w:rsid w:val="23A178AF"/>
    <w:rsid w:val="23CF39AD"/>
    <w:rsid w:val="24244568"/>
    <w:rsid w:val="24ED5D39"/>
    <w:rsid w:val="256D717A"/>
    <w:rsid w:val="25DC1148"/>
    <w:rsid w:val="262171BD"/>
    <w:rsid w:val="266B0827"/>
    <w:rsid w:val="26F02A12"/>
    <w:rsid w:val="26FF3AD0"/>
    <w:rsid w:val="2A1C1758"/>
    <w:rsid w:val="2A455774"/>
    <w:rsid w:val="2A9C7564"/>
    <w:rsid w:val="2ACA6785"/>
    <w:rsid w:val="2ACE0872"/>
    <w:rsid w:val="2B004F79"/>
    <w:rsid w:val="2BD34A0D"/>
    <w:rsid w:val="2BDB689E"/>
    <w:rsid w:val="2C3C4945"/>
    <w:rsid w:val="2DC74F5E"/>
    <w:rsid w:val="2E096DBC"/>
    <w:rsid w:val="2E905510"/>
    <w:rsid w:val="2EB86955"/>
    <w:rsid w:val="2F0A352A"/>
    <w:rsid w:val="2F543231"/>
    <w:rsid w:val="2F5A7F85"/>
    <w:rsid w:val="2F5E6CB1"/>
    <w:rsid w:val="2F8E7791"/>
    <w:rsid w:val="2FF1370F"/>
    <w:rsid w:val="30313EC8"/>
    <w:rsid w:val="305C1DB5"/>
    <w:rsid w:val="31633F3B"/>
    <w:rsid w:val="31817E3D"/>
    <w:rsid w:val="31B41456"/>
    <w:rsid w:val="32505D26"/>
    <w:rsid w:val="32B242D5"/>
    <w:rsid w:val="348F71F4"/>
    <w:rsid w:val="34916F9A"/>
    <w:rsid w:val="359529B1"/>
    <w:rsid w:val="35FC3F43"/>
    <w:rsid w:val="36294D55"/>
    <w:rsid w:val="364C179A"/>
    <w:rsid w:val="3684783E"/>
    <w:rsid w:val="36AE4266"/>
    <w:rsid w:val="37364BB8"/>
    <w:rsid w:val="37883A40"/>
    <w:rsid w:val="37895692"/>
    <w:rsid w:val="378E2D18"/>
    <w:rsid w:val="38441F92"/>
    <w:rsid w:val="38B95E34"/>
    <w:rsid w:val="39285AAA"/>
    <w:rsid w:val="39E6519B"/>
    <w:rsid w:val="3A7B6B87"/>
    <w:rsid w:val="3AF80729"/>
    <w:rsid w:val="3B12715F"/>
    <w:rsid w:val="3B5F4DA0"/>
    <w:rsid w:val="3BC20472"/>
    <w:rsid w:val="3BD271D9"/>
    <w:rsid w:val="3BDD69B3"/>
    <w:rsid w:val="3CF93155"/>
    <w:rsid w:val="3D5F10F9"/>
    <w:rsid w:val="3D901C4B"/>
    <w:rsid w:val="3DB9109A"/>
    <w:rsid w:val="3DD6700D"/>
    <w:rsid w:val="3E927D55"/>
    <w:rsid w:val="3F6159C1"/>
    <w:rsid w:val="3F67141F"/>
    <w:rsid w:val="3F941A8C"/>
    <w:rsid w:val="3FD67B85"/>
    <w:rsid w:val="405F089D"/>
    <w:rsid w:val="409A0C02"/>
    <w:rsid w:val="40CB7023"/>
    <w:rsid w:val="41606430"/>
    <w:rsid w:val="42555572"/>
    <w:rsid w:val="425725E8"/>
    <w:rsid w:val="42996777"/>
    <w:rsid w:val="43CD744C"/>
    <w:rsid w:val="4478512B"/>
    <w:rsid w:val="452F66AF"/>
    <w:rsid w:val="455129CA"/>
    <w:rsid w:val="462C33D1"/>
    <w:rsid w:val="46667AEF"/>
    <w:rsid w:val="466D0E0E"/>
    <w:rsid w:val="4695373F"/>
    <w:rsid w:val="4697160F"/>
    <w:rsid w:val="474B206F"/>
    <w:rsid w:val="478F2E3A"/>
    <w:rsid w:val="489050D9"/>
    <w:rsid w:val="48B87816"/>
    <w:rsid w:val="49023463"/>
    <w:rsid w:val="49682BE3"/>
    <w:rsid w:val="4A0D2C5F"/>
    <w:rsid w:val="4A7F020F"/>
    <w:rsid w:val="4AA772B4"/>
    <w:rsid w:val="4ABB32B0"/>
    <w:rsid w:val="4C531B79"/>
    <w:rsid w:val="4C636052"/>
    <w:rsid w:val="4D1C333A"/>
    <w:rsid w:val="4D5A3A3A"/>
    <w:rsid w:val="4D6F6AE3"/>
    <w:rsid w:val="4EF010EA"/>
    <w:rsid w:val="4EFC26DC"/>
    <w:rsid w:val="4F5C1F11"/>
    <w:rsid w:val="4F726449"/>
    <w:rsid w:val="5000230A"/>
    <w:rsid w:val="500055C5"/>
    <w:rsid w:val="50414F82"/>
    <w:rsid w:val="50B16817"/>
    <w:rsid w:val="5176133C"/>
    <w:rsid w:val="51D134CF"/>
    <w:rsid w:val="51DA5D40"/>
    <w:rsid w:val="523C78CD"/>
    <w:rsid w:val="52EE38A2"/>
    <w:rsid w:val="53395E55"/>
    <w:rsid w:val="53693CAB"/>
    <w:rsid w:val="549C5D38"/>
    <w:rsid w:val="54EA72BB"/>
    <w:rsid w:val="55DA0FDB"/>
    <w:rsid w:val="55F91CC3"/>
    <w:rsid w:val="56047B5D"/>
    <w:rsid w:val="561513C9"/>
    <w:rsid w:val="562E33A0"/>
    <w:rsid w:val="567C45F7"/>
    <w:rsid w:val="56E800CA"/>
    <w:rsid w:val="57342DB2"/>
    <w:rsid w:val="57627A71"/>
    <w:rsid w:val="578541BD"/>
    <w:rsid w:val="58111AF2"/>
    <w:rsid w:val="58492CD1"/>
    <w:rsid w:val="58960553"/>
    <w:rsid w:val="58C94867"/>
    <w:rsid w:val="58D02612"/>
    <w:rsid w:val="59457317"/>
    <w:rsid w:val="5A9D21AB"/>
    <w:rsid w:val="5AB613F2"/>
    <w:rsid w:val="5ABB0A1E"/>
    <w:rsid w:val="5B612207"/>
    <w:rsid w:val="5B8E7AE8"/>
    <w:rsid w:val="5C2772B0"/>
    <w:rsid w:val="5C480A26"/>
    <w:rsid w:val="5E3C45AA"/>
    <w:rsid w:val="5E4C2901"/>
    <w:rsid w:val="5E5B33B2"/>
    <w:rsid w:val="5EA12B9A"/>
    <w:rsid w:val="5EEC3F13"/>
    <w:rsid w:val="5F2E0F5F"/>
    <w:rsid w:val="5F9D00F8"/>
    <w:rsid w:val="5F9D03C5"/>
    <w:rsid w:val="604F07F1"/>
    <w:rsid w:val="60654070"/>
    <w:rsid w:val="619536FC"/>
    <w:rsid w:val="61B911B5"/>
    <w:rsid w:val="62522124"/>
    <w:rsid w:val="62831B48"/>
    <w:rsid w:val="63231932"/>
    <w:rsid w:val="63517AAF"/>
    <w:rsid w:val="636016A8"/>
    <w:rsid w:val="645544BE"/>
    <w:rsid w:val="646C4CC4"/>
    <w:rsid w:val="65171900"/>
    <w:rsid w:val="65183ECB"/>
    <w:rsid w:val="652956BE"/>
    <w:rsid w:val="659E04BA"/>
    <w:rsid w:val="65CA6838"/>
    <w:rsid w:val="665053DB"/>
    <w:rsid w:val="6684384C"/>
    <w:rsid w:val="66DE0102"/>
    <w:rsid w:val="67152B67"/>
    <w:rsid w:val="671C7BF6"/>
    <w:rsid w:val="67E5742B"/>
    <w:rsid w:val="68127C3B"/>
    <w:rsid w:val="68764576"/>
    <w:rsid w:val="68F027D6"/>
    <w:rsid w:val="690C6064"/>
    <w:rsid w:val="69673E19"/>
    <w:rsid w:val="69A429DF"/>
    <w:rsid w:val="6A677455"/>
    <w:rsid w:val="6A6C3C8A"/>
    <w:rsid w:val="6A821F34"/>
    <w:rsid w:val="6A974851"/>
    <w:rsid w:val="6AFD0161"/>
    <w:rsid w:val="6B517308"/>
    <w:rsid w:val="6B633BBF"/>
    <w:rsid w:val="6B9003ED"/>
    <w:rsid w:val="6C2500E0"/>
    <w:rsid w:val="6C7A320C"/>
    <w:rsid w:val="6CAD1FEB"/>
    <w:rsid w:val="6CCB6BCF"/>
    <w:rsid w:val="6D1211C3"/>
    <w:rsid w:val="6D7B6FD2"/>
    <w:rsid w:val="6D9318BE"/>
    <w:rsid w:val="6DD944A3"/>
    <w:rsid w:val="6E9C69DC"/>
    <w:rsid w:val="6EBA59F7"/>
    <w:rsid w:val="6EE92007"/>
    <w:rsid w:val="6FF845CA"/>
    <w:rsid w:val="705F4C76"/>
    <w:rsid w:val="70956DF5"/>
    <w:rsid w:val="70B7124E"/>
    <w:rsid w:val="71064139"/>
    <w:rsid w:val="711F0358"/>
    <w:rsid w:val="71C11E77"/>
    <w:rsid w:val="726B4339"/>
    <w:rsid w:val="728C2B53"/>
    <w:rsid w:val="72F02F6F"/>
    <w:rsid w:val="731628E1"/>
    <w:rsid w:val="73533FDD"/>
    <w:rsid w:val="737B42EF"/>
    <w:rsid w:val="73B81ADD"/>
    <w:rsid w:val="73CE52A3"/>
    <w:rsid w:val="741722F5"/>
    <w:rsid w:val="74926960"/>
    <w:rsid w:val="75784EBD"/>
    <w:rsid w:val="75BF112D"/>
    <w:rsid w:val="75E67D08"/>
    <w:rsid w:val="75FF16C4"/>
    <w:rsid w:val="76316263"/>
    <w:rsid w:val="7658545C"/>
    <w:rsid w:val="7768158A"/>
    <w:rsid w:val="777F3BC3"/>
    <w:rsid w:val="77B53A15"/>
    <w:rsid w:val="77EA4D2B"/>
    <w:rsid w:val="78670EAF"/>
    <w:rsid w:val="787B2434"/>
    <w:rsid w:val="78951FD5"/>
    <w:rsid w:val="78AD45C1"/>
    <w:rsid w:val="78F637D2"/>
    <w:rsid w:val="79C23979"/>
    <w:rsid w:val="79CC073E"/>
    <w:rsid w:val="79E3571C"/>
    <w:rsid w:val="7A287B25"/>
    <w:rsid w:val="7A427913"/>
    <w:rsid w:val="7A871456"/>
    <w:rsid w:val="7AE809AE"/>
    <w:rsid w:val="7AFF30B8"/>
    <w:rsid w:val="7BB84C0C"/>
    <w:rsid w:val="7BD56903"/>
    <w:rsid w:val="7C107799"/>
    <w:rsid w:val="7C223222"/>
    <w:rsid w:val="7CE068CE"/>
    <w:rsid w:val="7D234897"/>
    <w:rsid w:val="7D886940"/>
    <w:rsid w:val="7DB6474E"/>
    <w:rsid w:val="7E2619D9"/>
    <w:rsid w:val="7E304D79"/>
    <w:rsid w:val="7E310722"/>
    <w:rsid w:val="7E6273FE"/>
    <w:rsid w:val="7E741BF9"/>
    <w:rsid w:val="7E964F86"/>
    <w:rsid w:val="7ED46764"/>
    <w:rsid w:val="7FB03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link w:val="20"/>
    <w:qFormat/>
    <w:uiPriority w:val="99"/>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列出段落2"/>
    <w:basedOn w:val="1"/>
    <w:qFormat/>
    <w:uiPriority w:val="34"/>
    <w:pPr>
      <w:ind w:firstLine="420" w:firstLineChars="200"/>
    </w:pPr>
    <w:rPr>
      <w:rFonts w:ascii="Calibri" w:hAnsi="Calibri"/>
      <w:szCs w:val="22"/>
    </w:rPr>
  </w:style>
  <w:style w:type="paragraph" w:customStyle="1" w:styleId="19">
    <w:name w:val="列出段落3"/>
    <w:basedOn w:val="1"/>
    <w:qFormat/>
    <w:uiPriority w:val="34"/>
    <w:pPr>
      <w:ind w:firstLine="420" w:firstLineChars="200"/>
    </w:pPr>
    <w:rPr>
      <w:rFonts w:ascii="Calibri" w:hAnsi="Calibri"/>
      <w:szCs w:val="22"/>
    </w:rPr>
  </w:style>
  <w:style w:type="character" w:customStyle="1" w:styleId="20">
    <w:name w:val="纯文本 Char"/>
    <w:basedOn w:val="11"/>
    <w:link w:val="5"/>
    <w:qFormat/>
    <w:uiPriority w:val="99"/>
    <w:rPr>
      <w:rFonts w:ascii="宋体" w:hAnsi="Courier New"/>
      <w:kern w:val="2"/>
      <w:sz w:val="21"/>
    </w:rPr>
  </w:style>
  <w:style w:type="paragraph" w:styleId="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2889</Words>
  <Characters>16473</Characters>
  <Lines>137</Lines>
  <Paragraphs>38</Paragraphs>
  <TotalTime>0</TotalTime>
  <ScaleCrop>false</ScaleCrop>
  <LinksUpToDate>false</LinksUpToDate>
  <CharactersWithSpaces>19324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2022-07-26T14:18:02Z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C6288A6C2584409B893C431E5984A124</vt:lpwstr>
  </property>
</Properties>
</file>