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_GoBack"/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河北帝鉴食品有限公司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黄骅市滕庄子乡西胡庄工业园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河北省沧州市</w:t>
            </w:r>
            <w:r>
              <w:rPr>
                <w:rFonts w:asciiTheme="minorEastAsia" w:hAnsiTheme="minorEastAsia" w:eastAsiaTheme="minorEastAsia"/>
                <w:sz w:val="20"/>
              </w:rPr>
              <w:t>黄骅市滕庄子乡西胡庄工业园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黄丽颖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13091149494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李杰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15320096301@163.com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0084-2022-QH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color w:val="0000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H：位于</w:t>
            </w:r>
            <w:r>
              <w:rPr>
                <w:rFonts w:hint="eastAsia"/>
                <w:b/>
                <w:color w:val="0000FF"/>
                <w:szCs w:val="21"/>
                <w:u w:val="single"/>
                <w:lang w:val="en-US" w:eastAsia="zh-CN"/>
              </w:rPr>
              <w:t>河北省沧州市黄骅市滕庄子乡西胡庄工业园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河北帝鉴食品有限公司生产车间的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的生产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Q：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t>的生产</w:t>
            </w:r>
          </w:p>
        </w:tc>
        <w:tc>
          <w:tcPr>
            <w:tcW w:w="680" w:type="dxa"/>
            <w:shd w:val="clear" w:color="auto" w:fill="F1F1F1" w:themeFill="background1" w:themeFillShade="F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H：CIV-1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Q：03.06.01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(V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2022年06月30日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至2022年07月01日 下午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 xml:space="preserve">17:00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color w:val="0000FF"/>
                <w:sz w:val="20"/>
                <w:lang w:eastAsia="zh-CN"/>
              </w:rPr>
              <w:t>——【</w:t>
            </w:r>
            <w:r>
              <w:rPr>
                <w:rFonts w:hint="eastAsia"/>
                <w:b/>
                <w:color w:val="0000FF"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color w:val="0000FF"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H:CIV-1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H:CIV-1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bookmarkEnd w:id="35"/>
    </w:tbl>
    <w:p/>
    <w:p>
      <w:pPr>
        <w:pStyle w:val="2"/>
      </w:pPr>
    </w:p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89"/>
        <w:gridCol w:w="756"/>
        <w:gridCol w:w="3749"/>
        <w:gridCol w:w="252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2022-0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6-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30全天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ind w:firstLine="211" w:firstLineChars="10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75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领导层</w:t>
            </w:r>
          </w:p>
        </w:tc>
        <w:tc>
          <w:tcPr>
            <w:tcW w:w="3749" w:type="dxa"/>
            <w:shd w:val="clear" w:color="auto" w:fill="E6E0EC" w:themeFill="accent4" w:themeFillTint="32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要求、内外部环境、相关方需求和期望识别、合规义务、管理体系范围、管理体系及其过程、领导作用与承诺、岗位和职责、管理方针、管理目标及其实现的策划、风险和机遇识别及应对措施、变更的策划、资源、沟通、食品安全文化、文件化信息【总则】、监视测量分析和评价（总则）、管理评审、不符合和纠正措施、改进（总则）、持续改进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一阶段问题验证等</w:t>
            </w:r>
          </w:p>
        </w:tc>
        <w:tc>
          <w:tcPr>
            <w:tcW w:w="2527" w:type="dxa"/>
            <w:shd w:val="clear" w:color="auto" w:fill="E6E0EC" w:themeFill="accent4" w:themeFillTint="32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Q:4.1-4.4/5.1/5.2/5.3/6.1/6.2/6.3/7.1.1/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.4/7.5.1/9.1.1/9.3/10.1/10.2/10.3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H：1.1/1.2.1/1.2.2/2.1-2.5/5.1/5.4/5.5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H(Q)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Q实习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HACCP小组</w:t>
            </w: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文件策划情况、HACCP手册、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HACCP小组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职责和权限、前提计划总则、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良好卫生规范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预备步骤、预期用途的确定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危害分析和制定控制措施、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HACCP计划、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HACCP计划的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确认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HACCP计划的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验证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产品撤回和召回、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致敏物管理、食品防护、食品欺诈预防、应急准备和响应、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记录保持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H：1.2.1/1.2.2/2.5.1/3.1/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3.9/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3.10/3.11/3.12/3.13/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4.1-4.6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12:30-13:00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午餐休息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13:00-17:00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及现场</w:t>
            </w: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部门职责、目标管理、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21"/>
                <w:szCs w:val="21"/>
              </w:rPr>
              <w:t>基础设施、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良好卫生规范现场情况、工作环境、产品撤回/召回、应急准备和响应、运行策划和控制（QH）、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前提计划（总则）、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产品和服务的设计和开发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/设计和开发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、生产和服务提供、标识和追溯/可追溯性、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产品防护、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变更管理、CCP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的实施、致敏物管理、食品防护等；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Q:5.3/6.2/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7.1.4/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8.3/8.5.1/8.5.2/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8.5.4/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8.5.6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3.3/3.4/3.7/3.9/3.10/3.11/3.13/4.3.4.3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H(Q)</w:t>
            </w:r>
          </w:p>
          <w:p>
            <w:pPr>
              <w:pStyle w:val="2"/>
              <w:spacing w:before="0" w:after="0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Q实习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17: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第一天审核结束</w:t>
            </w:r>
          </w:p>
        </w:tc>
        <w:tc>
          <w:tcPr>
            <w:tcW w:w="25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ABC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2022-0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7-01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第二天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374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8:30-10:30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及现场</w:t>
            </w: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部门职责、目标管理、</w:t>
            </w:r>
            <w:r>
              <w:rPr>
                <w:rFonts w:hint="default" w:ascii="Times New Roman" w:hAnsi="Times New Roman" w:cs="Times New Roman"/>
                <w:bCs/>
                <w:spacing w:val="10"/>
                <w:sz w:val="21"/>
                <w:szCs w:val="21"/>
              </w:rPr>
              <w:t>基础设施、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良好卫生规范现场情况、工作环境、产品撤回/召回、应急准备和响应、运行策划和控制（QH）、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前提计划（总则）、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产品和服务的设计和开发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/设计和开发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、生产和服务提供、标识和追溯/可追溯性、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产品防护、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变更管理、CCP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的实施、致敏物管理、食品防护等；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——【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Q:5.3/6.2/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7.1.4/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8.3/8.5.1/8.5.2/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8.5.4/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8.5.6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3.3/3.4/3.7/3.9/3.10/3.11/3.13/4.3.4.3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H(Q)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Q实习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10:30-12:30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质检部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及现场</w:t>
            </w: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部门职责、目标管理、监视和测量资源的控制、产品放行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不合格品的控制、分析和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评价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、验证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Q：5.3/6.2/7.1.5/8.6/8.7/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9.1.3</w:t>
            </w:r>
          </w:p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H:2.4.2/2.5.1/3.8/3.6/4.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5/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5.1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H(Q)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Q实习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DCE6F2" w:themeFill="accent1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12:30-13:00</w:t>
            </w:r>
          </w:p>
        </w:tc>
        <w:tc>
          <w:tcPr>
            <w:tcW w:w="756" w:type="dxa"/>
            <w:shd w:val="clear" w:color="auto" w:fill="DCE6F2" w:themeFill="accent1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749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527" w:type="dxa"/>
            <w:shd w:val="clear" w:color="auto" w:fill="DCE6F2" w:themeFill="accent1" w:themeFillTint="3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E6E0EC" w:themeFill="accent4" w:themeFillTint="32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756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749" w:type="dxa"/>
            <w:shd w:val="clear" w:color="auto" w:fill="E6E0EC" w:themeFill="accent4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部门职责、目标管理、人员、能力、意识、沟通、持证上岗人员、健康证、文件和记录管理、组织的知识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采购管理/外部提供的产品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、服务/过程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食品欺诈预防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内部审核</w:t>
            </w:r>
          </w:p>
        </w:tc>
        <w:tc>
          <w:tcPr>
            <w:tcW w:w="2527" w:type="dxa"/>
            <w:shd w:val="clear" w:color="auto" w:fill="E6E0EC" w:themeFill="accent4" w:themeFillTint="3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Q：5.3/6.2/7.1.2/7.1.6/7.2/7.3/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7.4/7.5.2/7.5.3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9.2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H:1.2.3/1.2.4/2.4.2/2.5.1/2.5.2/3.2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3.5/3.12/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E6E0EC" w:themeFill="accent4" w:themeFillTint="3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A:H(Q)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B:Q实习H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74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部门职责、目标管理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产品和服务的要求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顾客财产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交付后的活动/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投诉处理、顾客满意、撤回召回情况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pStyle w:val="2"/>
              <w:spacing w:before="0"/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Q:5.3/6.2/8.2/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8.5.3/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8.5.5/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9.1.2</w:t>
            </w:r>
          </w:p>
          <w:p>
            <w:pPr>
              <w:pStyle w:val="2"/>
              <w:spacing w:before="0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H:2.4.2/2.5.1/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3.9/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5.2</w:t>
            </w: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A:H(Q)</w:t>
            </w:r>
          </w:p>
          <w:p>
            <w:pPr>
              <w:pStyle w:val="2"/>
              <w:spacing w:before="0" w:after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B:Q实习H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16:30-17:00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17:00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审核结束</w:t>
            </w:r>
          </w:p>
        </w:tc>
        <w:tc>
          <w:tcPr>
            <w:tcW w:w="252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4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pacing w:before="0" w:after="0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A813020"/>
    <w:rsid w:val="11F92B46"/>
    <w:rsid w:val="58D43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cp:lastPrinted>2022-07-01T08:06:15Z</cp:lastPrinted>
  <dcterms:modified xsi:type="dcterms:W3CDTF">2022-07-01T09:18:51Z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