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36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szCs w:val="24"/>
                <w:lang w:val="en-US" w:eastAsia="zh-CN"/>
              </w:rPr>
              <w:t xml:space="preserve">秦晓霞  </w:t>
            </w:r>
            <w:r>
              <w:rPr>
                <w:rFonts w:hint="eastAsia"/>
                <w:sz w:val="24"/>
                <w:szCs w:val="24"/>
              </w:rPr>
              <w:t>陪同人员：</w:t>
            </w:r>
            <w:r>
              <w:rPr>
                <w:rFonts w:hint="eastAsia"/>
                <w:sz w:val="24"/>
                <w:szCs w:val="24"/>
                <w:lang w:val="en-US" w:eastAsia="zh-CN"/>
              </w:rPr>
              <w:t>刘群</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360" w:lineRule="auto"/>
              <w:rPr>
                <w:sz w:val="24"/>
                <w:szCs w:val="24"/>
              </w:rPr>
            </w:pPr>
            <w:r>
              <w:rPr>
                <w:rFonts w:hint="eastAsia"/>
                <w:sz w:val="24"/>
                <w:szCs w:val="24"/>
              </w:rPr>
              <w:t>审核员：</w:t>
            </w:r>
            <w:bookmarkStart w:id="0" w:name="审核组成员不含组长"/>
            <w:bookmarkEnd w:id="0"/>
            <w:r>
              <w:rPr>
                <w:rFonts w:hint="eastAsia"/>
                <w:sz w:val="24"/>
                <w:szCs w:val="24"/>
              </w:rPr>
              <w:t>审核时间：</w:t>
            </w:r>
            <w:bookmarkStart w:id="1" w:name="审核日期"/>
            <w:r>
              <w:rPr>
                <w:sz w:val="24"/>
                <w:szCs w:val="24"/>
              </w:rPr>
              <w:t>2022年02月2</w:t>
            </w:r>
            <w:r>
              <w:rPr>
                <w:rFonts w:hint="eastAsia"/>
                <w:sz w:val="24"/>
                <w:szCs w:val="24"/>
                <w:lang w:val="en-US" w:eastAsia="zh-CN"/>
              </w:rPr>
              <w:t>2</w:t>
            </w:r>
            <w:r>
              <w:rPr>
                <w:sz w:val="24"/>
                <w:szCs w:val="24"/>
              </w:rPr>
              <w:t xml:space="preserve">日 </w:t>
            </w:r>
            <w:bookmarkEnd w:id="1"/>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360" w:lineRule="auto"/>
              <w:rPr>
                <w:rFonts w:hint="eastAsia"/>
                <w:sz w:val="24"/>
                <w:szCs w:val="24"/>
              </w:rPr>
            </w:pPr>
            <w:r>
              <w:rPr>
                <w:rFonts w:hint="eastAsia"/>
                <w:sz w:val="24"/>
                <w:szCs w:val="24"/>
              </w:rPr>
              <w:t>审核条款：</w:t>
            </w:r>
          </w:p>
          <w:p>
            <w:pPr>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Q:5.3/6.2/7.1.6/7.2</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9.1.3/9.2</w:t>
            </w:r>
          </w:p>
          <w:p>
            <w:pPr>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E/S:5.3(S5.4)/6.1.2/6.1.3/6.2/7.2/8.1/8.2/9.1.1/9.1.2/9.2</w:t>
            </w:r>
          </w:p>
          <w:p>
            <w:pPr>
              <w:spacing w:line="360" w:lineRule="auto"/>
              <w:rPr>
                <w:rFonts w:hint="eastAsia"/>
                <w:sz w:val="24"/>
                <w:szCs w:val="24"/>
              </w:rPr>
            </w:pPr>
            <w:r>
              <w:rPr>
                <w:rFonts w:hint="eastAsia" w:ascii="宋体" w:hAnsi="宋体" w:eastAsia="宋体" w:cs="宋体"/>
                <w:sz w:val="24"/>
                <w:szCs w:val="24"/>
              </w:rPr>
              <w:t>部门职责权限、</w:t>
            </w:r>
            <w:r>
              <w:rPr>
                <w:rFonts w:hint="eastAsia" w:ascii="宋体" w:hAnsi="宋体" w:eastAsia="宋体" w:cs="宋体"/>
                <w:sz w:val="24"/>
                <w:szCs w:val="24"/>
                <w:lang w:val="en-US" w:eastAsia="zh-CN"/>
              </w:rPr>
              <w:t>QES</w:t>
            </w:r>
            <w:r>
              <w:rPr>
                <w:rFonts w:hint="eastAsia" w:ascii="宋体" w:hAnsi="宋体" w:eastAsia="宋体" w:cs="宋体"/>
                <w:sz w:val="24"/>
                <w:szCs w:val="24"/>
              </w:rPr>
              <w:t>目标管理；</w:t>
            </w:r>
            <w:r>
              <w:rPr>
                <w:rFonts w:hint="eastAsia" w:ascii="宋体" w:hAnsi="宋体" w:eastAsia="宋体" w:cs="宋体"/>
                <w:sz w:val="24"/>
                <w:szCs w:val="24"/>
                <w:lang w:val="en-US" w:eastAsia="zh-CN"/>
              </w:rPr>
              <w:t>组织的知识；员工能力保障</w:t>
            </w:r>
            <w:r>
              <w:rPr>
                <w:rFonts w:hint="eastAsia" w:ascii="宋体" w:hAnsi="宋体" w:eastAsia="宋体" w:cs="宋体"/>
                <w:sz w:val="24"/>
                <w:szCs w:val="24"/>
              </w:rPr>
              <w:t>；内审管理；</w:t>
            </w:r>
            <w:r>
              <w:rPr>
                <w:rFonts w:hint="eastAsia" w:ascii="宋体" w:hAnsi="宋体" w:eastAsia="宋体" w:cs="宋体"/>
                <w:sz w:val="24"/>
                <w:szCs w:val="24"/>
                <w:lang w:val="en-US" w:eastAsia="zh-CN"/>
              </w:rPr>
              <w:t>绩效监控、分析与评价</w:t>
            </w:r>
            <w:r>
              <w:rPr>
                <w:rFonts w:hint="eastAsia" w:ascii="宋体" w:hAnsi="宋体" w:eastAsia="宋体" w:cs="宋体"/>
                <w:sz w:val="24"/>
                <w:szCs w:val="24"/>
              </w:rPr>
              <w:t>等过程及相应环境/职业健康安全管理体系运行过程；</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sz w:val="24"/>
                <w:szCs w:val="24"/>
              </w:rPr>
            </w:pPr>
            <w:r>
              <w:rPr>
                <w:rFonts w:hint="eastAsia" w:asciiTheme="minorEastAsia" w:hAnsiTheme="minorEastAsia" w:eastAsiaTheme="minorEastAsia" w:cstheme="minorEastAsia"/>
                <w:sz w:val="24"/>
                <w:szCs w:val="24"/>
              </w:rPr>
              <w:t>岗位、职责、和权限</w:t>
            </w:r>
          </w:p>
        </w:tc>
        <w:tc>
          <w:tcPr>
            <w:tcW w:w="960" w:type="dxa"/>
          </w:tcPr>
          <w:p>
            <w:pPr>
              <w:spacing w:line="360" w:lineRule="auto"/>
              <w:rPr>
                <w:rFonts w:hint="default" w:eastAsia="宋体"/>
                <w:sz w:val="24"/>
                <w:szCs w:val="24"/>
                <w:lang w:val="en-US" w:eastAsia="zh-CN"/>
              </w:rPr>
            </w:pPr>
            <w:r>
              <w:rPr>
                <w:rFonts w:hint="eastAsia"/>
                <w:sz w:val="24"/>
                <w:szCs w:val="24"/>
                <w:lang w:val="en-US" w:eastAsia="zh-CN"/>
              </w:rPr>
              <w:t>QES5.3</w:t>
            </w:r>
          </w:p>
        </w:tc>
        <w:tc>
          <w:tcPr>
            <w:tcW w:w="10004" w:type="dxa"/>
          </w:tcPr>
          <w:p>
            <w:pPr>
              <w:pStyle w:val="15"/>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部门负责</w:t>
            </w:r>
            <w:r>
              <w:rPr>
                <w:rFonts w:hint="eastAsia" w:asciiTheme="minorEastAsia" w:hAnsiTheme="minorEastAsia" w:eastAsiaTheme="minorEastAsia" w:cstheme="minorEastAsia"/>
                <w:sz w:val="24"/>
                <w:szCs w:val="24"/>
                <w:lang w:val="en-US" w:eastAsia="zh-CN"/>
              </w:rPr>
              <w:t>人</w:t>
            </w:r>
            <w:r>
              <w:rPr>
                <w:rFonts w:hint="eastAsia"/>
                <w:sz w:val="24"/>
                <w:szCs w:val="24"/>
                <w:lang w:val="en-US" w:eastAsia="zh-CN"/>
              </w:rPr>
              <w:t>秦晓霞</w:t>
            </w:r>
            <w:r>
              <w:rPr>
                <w:rFonts w:hint="eastAsia" w:asciiTheme="minorEastAsia" w:hAnsiTheme="minorEastAsia" w:eastAsiaTheme="minorEastAsia" w:cstheme="minorEastAsia"/>
                <w:sz w:val="24"/>
                <w:szCs w:val="24"/>
                <w:lang w:val="en-US" w:eastAsia="zh-CN"/>
              </w:rPr>
              <w:t>介绍,本部门3人，主要负责以下工作内容：</w:t>
            </w:r>
          </w:p>
          <w:p>
            <w:pPr>
              <w:spacing w:line="360" w:lineRule="auto"/>
              <w:ind w:left="210" w:leftChars="100"/>
              <w:rPr>
                <w:rFonts w:ascii="宋体" w:hAnsi="宋体" w:eastAsia="宋体" w:cs="宋体"/>
                <w:sz w:val="24"/>
                <w:szCs w:val="24"/>
              </w:rPr>
            </w:pPr>
            <w:r>
              <w:rPr>
                <w:rFonts w:ascii="宋体" w:hAnsi="宋体" w:eastAsia="宋体" w:cs="宋体"/>
                <w:sz w:val="24"/>
                <w:szCs w:val="24"/>
              </w:rPr>
              <w:t>a)</w:t>
            </w:r>
            <w:r>
              <w:rPr>
                <w:rFonts w:hint="eastAsia" w:ascii="宋体" w:hAnsi="宋体" w:eastAsia="宋体" w:cs="宋体"/>
                <w:sz w:val="24"/>
                <w:szCs w:val="24"/>
              </w:rPr>
              <w:t xml:space="preserve"> </w:t>
            </w:r>
            <w:r>
              <w:rPr>
                <w:rFonts w:ascii="宋体" w:hAnsi="宋体" w:eastAsia="宋体" w:cs="宋体"/>
                <w:sz w:val="24"/>
                <w:szCs w:val="24"/>
              </w:rPr>
              <w:t>负责对管理体系文件和记录的归口管理。</w:t>
            </w:r>
            <w:r>
              <w:rPr>
                <w:rFonts w:hint="eastAsia" w:ascii="宋体" w:hAnsi="宋体" w:eastAsia="宋体" w:cs="宋体"/>
                <w:sz w:val="24"/>
                <w:szCs w:val="24"/>
              </w:rPr>
              <w:t>负责法律法规的识别和合规性评价工作；</w:t>
            </w:r>
          </w:p>
          <w:p>
            <w:pPr>
              <w:spacing w:line="360" w:lineRule="auto"/>
              <w:ind w:left="210" w:leftChars="100"/>
              <w:rPr>
                <w:rFonts w:ascii="宋体" w:hAnsi="宋体" w:eastAsia="宋体" w:cs="宋体"/>
                <w:sz w:val="24"/>
                <w:szCs w:val="24"/>
              </w:rPr>
            </w:pPr>
            <w:r>
              <w:rPr>
                <w:rFonts w:ascii="宋体" w:hAnsi="宋体" w:eastAsia="宋体" w:cs="宋体"/>
                <w:sz w:val="24"/>
                <w:szCs w:val="24"/>
              </w:rPr>
              <w:t>b)</w:t>
            </w:r>
            <w:r>
              <w:rPr>
                <w:rFonts w:hint="eastAsia" w:ascii="宋体" w:hAnsi="宋体" w:eastAsia="宋体" w:cs="宋体"/>
                <w:sz w:val="24"/>
                <w:szCs w:val="24"/>
              </w:rPr>
              <w:t xml:space="preserve"> </w:t>
            </w:r>
            <w:r>
              <w:rPr>
                <w:rFonts w:ascii="宋体" w:hAnsi="宋体" w:eastAsia="宋体" w:cs="宋体"/>
                <w:sz w:val="24"/>
                <w:szCs w:val="24"/>
              </w:rPr>
              <w:t>负责公司内</w:t>
            </w:r>
            <w:r>
              <w:rPr>
                <w:rFonts w:hint="eastAsia" w:ascii="宋体" w:hAnsi="宋体" w:eastAsia="宋体" w:cs="宋体"/>
                <w:sz w:val="24"/>
                <w:szCs w:val="24"/>
              </w:rPr>
              <w:t>外</w:t>
            </w:r>
            <w:r>
              <w:rPr>
                <w:rFonts w:ascii="宋体" w:hAnsi="宋体" w:eastAsia="宋体" w:cs="宋体"/>
                <w:sz w:val="24"/>
                <w:szCs w:val="24"/>
              </w:rPr>
              <w:t>部沟通的归口管理，保留</w:t>
            </w:r>
            <w:r>
              <w:rPr>
                <w:rFonts w:hint="eastAsia" w:ascii="宋体" w:hAnsi="宋体" w:eastAsia="宋体" w:cs="宋体"/>
                <w:sz w:val="24"/>
                <w:szCs w:val="24"/>
              </w:rPr>
              <w:t>公司</w:t>
            </w:r>
            <w:r>
              <w:rPr>
                <w:rFonts w:ascii="宋体" w:hAnsi="宋体" w:eastAsia="宋体" w:cs="宋体"/>
                <w:sz w:val="24"/>
                <w:szCs w:val="24"/>
              </w:rPr>
              <w:t>会议记录</w:t>
            </w:r>
            <w:r>
              <w:rPr>
                <w:rFonts w:hint="eastAsia" w:ascii="宋体" w:hAnsi="宋体" w:eastAsia="宋体" w:cs="宋体"/>
                <w:sz w:val="24"/>
                <w:szCs w:val="24"/>
              </w:rPr>
              <w:t>。</w:t>
            </w:r>
            <w:r>
              <w:rPr>
                <w:rFonts w:ascii="宋体" w:hAnsi="宋体" w:eastAsia="宋体" w:cs="宋体"/>
                <w:sz w:val="24"/>
                <w:szCs w:val="24"/>
              </w:rPr>
              <w:t>保留管理评审记录及相关资料</w:t>
            </w:r>
            <w:r>
              <w:rPr>
                <w:rFonts w:hint="eastAsia" w:ascii="宋体" w:hAnsi="宋体" w:eastAsia="宋体" w:cs="宋体"/>
                <w:sz w:val="24"/>
                <w:szCs w:val="24"/>
              </w:rPr>
              <w:t>；</w:t>
            </w:r>
          </w:p>
          <w:p>
            <w:pPr>
              <w:spacing w:line="360" w:lineRule="auto"/>
              <w:ind w:left="210" w:leftChars="100"/>
              <w:rPr>
                <w:rFonts w:ascii="宋体" w:hAnsi="宋体" w:eastAsia="宋体" w:cs="宋体"/>
                <w:sz w:val="24"/>
                <w:szCs w:val="24"/>
              </w:rPr>
            </w:pPr>
            <w:r>
              <w:rPr>
                <w:rFonts w:ascii="宋体" w:hAnsi="宋体" w:eastAsia="宋体" w:cs="宋体"/>
                <w:sz w:val="24"/>
                <w:szCs w:val="24"/>
              </w:rPr>
              <w:t>c)</w:t>
            </w:r>
            <w:r>
              <w:rPr>
                <w:rFonts w:hint="eastAsia" w:ascii="宋体" w:hAnsi="宋体" w:eastAsia="宋体" w:cs="宋体"/>
                <w:sz w:val="24"/>
                <w:szCs w:val="24"/>
              </w:rPr>
              <w:t xml:space="preserve"> </w:t>
            </w:r>
            <w:r>
              <w:rPr>
                <w:rFonts w:ascii="宋体" w:hAnsi="宋体" w:eastAsia="宋体" w:cs="宋体"/>
                <w:sz w:val="24"/>
                <w:szCs w:val="24"/>
              </w:rPr>
              <w:t>组织人力资源</w:t>
            </w:r>
            <w:r>
              <w:rPr>
                <w:rFonts w:hint="eastAsia" w:ascii="宋体" w:hAnsi="宋体" w:eastAsia="宋体" w:cs="宋体"/>
                <w:sz w:val="24"/>
                <w:szCs w:val="24"/>
              </w:rPr>
              <w:t>、工作环境</w:t>
            </w:r>
            <w:r>
              <w:rPr>
                <w:rFonts w:ascii="宋体" w:hAnsi="宋体" w:eastAsia="宋体" w:cs="宋体"/>
                <w:sz w:val="24"/>
                <w:szCs w:val="24"/>
              </w:rPr>
              <w:t>的合理配备，确保体系运行所需要的合格人才能够获得；</w:t>
            </w:r>
          </w:p>
          <w:p>
            <w:pPr>
              <w:spacing w:line="360" w:lineRule="auto"/>
              <w:ind w:left="210" w:leftChars="100"/>
              <w:rPr>
                <w:rFonts w:ascii="宋体" w:hAnsi="宋体" w:eastAsia="宋体" w:cs="宋体"/>
                <w:sz w:val="24"/>
                <w:szCs w:val="24"/>
              </w:rPr>
            </w:pPr>
            <w:r>
              <w:rPr>
                <w:rFonts w:ascii="宋体" w:hAnsi="宋体" w:eastAsia="宋体" w:cs="宋体"/>
                <w:sz w:val="24"/>
                <w:szCs w:val="24"/>
              </w:rPr>
              <w:t>d) 组织</w:t>
            </w:r>
            <w:r>
              <w:rPr>
                <w:rFonts w:hint="eastAsia" w:ascii="宋体" w:hAnsi="宋体" w:eastAsia="宋体" w:cs="宋体"/>
                <w:sz w:val="24"/>
                <w:szCs w:val="24"/>
              </w:rPr>
              <w:t>公司</w:t>
            </w:r>
            <w:r>
              <w:rPr>
                <w:rFonts w:ascii="宋体" w:hAnsi="宋体" w:eastAsia="宋体" w:cs="宋体"/>
                <w:sz w:val="24"/>
                <w:szCs w:val="24"/>
              </w:rPr>
              <w:t>各部门建立健全</w:t>
            </w:r>
            <w:r>
              <w:rPr>
                <w:rFonts w:hint="eastAsia" w:ascii="宋体" w:hAnsi="宋体" w:eastAsia="宋体" w:cs="宋体"/>
                <w:sz w:val="24"/>
                <w:szCs w:val="24"/>
              </w:rPr>
              <w:t>岗位职责和</w:t>
            </w:r>
            <w:r>
              <w:rPr>
                <w:rFonts w:ascii="宋体" w:hAnsi="宋体" w:eastAsia="宋体" w:cs="宋体"/>
                <w:sz w:val="24"/>
                <w:szCs w:val="24"/>
              </w:rPr>
              <w:t>各项管理制度并贯彻实施</w:t>
            </w:r>
            <w:r>
              <w:rPr>
                <w:rFonts w:hint="eastAsia" w:ascii="宋体" w:hAnsi="宋体" w:eastAsia="宋体" w:cs="宋体"/>
                <w:sz w:val="24"/>
                <w:szCs w:val="24"/>
              </w:rPr>
              <w:t>；</w:t>
            </w:r>
          </w:p>
          <w:p>
            <w:pPr>
              <w:spacing w:line="360" w:lineRule="auto"/>
              <w:ind w:left="210" w:leftChars="100"/>
              <w:rPr>
                <w:rFonts w:ascii="宋体" w:hAnsi="宋体" w:eastAsia="宋体" w:cs="宋体"/>
                <w:sz w:val="24"/>
                <w:szCs w:val="24"/>
              </w:rPr>
            </w:pPr>
            <w:r>
              <w:rPr>
                <w:rFonts w:ascii="宋体" w:hAnsi="宋体" w:eastAsia="宋体" w:cs="宋体"/>
                <w:sz w:val="24"/>
                <w:szCs w:val="24"/>
              </w:rPr>
              <w:t>e) 编制公司年度培训计划，建立和完善各类人员的专业、技能培训档案和</w:t>
            </w:r>
            <w:r>
              <w:rPr>
                <w:rFonts w:hint="eastAsia" w:ascii="宋体" w:hAnsi="宋体" w:eastAsia="宋体" w:cs="宋体"/>
                <w:sz w:val="24"/>
                <w:szCs w:val="24"/>
              </w:rPr>
              <w:t>相关</w:t>
            </w:r>
            <w:r>
              <w:rPr>
                <w:rFonts w:ascii="宋体" w:hAnsi="宋体" w:eastAsia="宋体" w:cs="宋体"/>
                <w:sz w:val="24"/>
                <w:szCs w:val="24"/>
              </w:rPr>
              <w:t>资料；</w:t>
            </w:r>
          </w:p>
          <w:p>
            <w:pPr>
              <w:spacing w:line="360" w:lineRule="auto"/>
              <w:ind w:left="210" w:leftChars="100"/>
              <w:rPr>
                <w:rFonts w:ascii="宋体" w:hAnsi="宋体" w:eastAsia="宋体" w:cs="宋体"/>
                <w:sz w:val="24"/>
                <w:szCs w:val="24"/>
              </w:rPr>
            </w:pPr>
            <w:r>
              <w:rPr>
                <w:rFonts w:ascii="宋体" w:hAnsi="宋体" w:eastAsia="宋体" w:cs="宋体"/>
                <w:sz w:val="24"/>
                <w:szCs w:val="24"/>
              </w:rPr>
              <w:t>f)</w:t>
            </w:r>
            <w:r>
              <w:rPr>
                <w:rFonts w:hint="eastAsia" w:ascii="宋体" w:hAnsi="宋体" w:eastAsia="宋体" w:cs="宋体"/>
                <w:sz w:val="24"/>
                <w:szCs w:val="24"/>
              </w:rPr>
              <w:t xml:space="preserve"> 是公司内部审核的归口管理部门，负责内部审核的策划、实施和记录保持；</w:t>
            </w:r>
          </w:p>
          <w:p>
            <w:pPr>
              <w:spacing w:line="360" w:lineRule="auto"/>
              <w:ind w:left="210" w:leftChars="100"/>
              <w:rPr>
                <w:rFonts w:ascii="宋体" w:hAnsi="宋体" w:eastAsia="宋体" w:cs="宋体"/>
                <w:sz w:val="24"/>
                <w:szCs w:val="24"/>
              </w:rPr>
            </w:pPr>
            <w:r>
              <w:rPr>
                <w:rFonts w:hint="eastAsia" w:ascii="宋体" w:hAnsi="宋体" w:eastAsia="宋体" w:cs="宋体"/>
                <w:sz w:val="24"/>
                <w:szCs w:val="24"/>
              </w:rPr>
              <w:t>g) 是办公设备和工作环境的主管部门，负责对办公设备的维护和工作环境的管理；</w:t>
            </w:r>
          </w:p>
          <w:p>
            <w:pPr>
              <w:spacing w:line="360" w:lineRule="auto"/>
              <w:ind w:left="210" w:leftChars="100"/>
              <w:rPr>
                <w:rFonts w:ascii="宋体" w:hAnsi="宋体" w:eastAsia="宋体" w:cs="宋体"/>
                <w:sz w:val="24"/>
                <w:szCs w:val="24"/>
              </w:rPr>
            </w:pPr>
            <w:r>
              <w:rPr>
                <w:rFonts w:hint="eastAsia" w:ascii="宋体" w:hAnsi="宋体" w:eastAsia="宋体" w:cs="宋体"/>
                <w:sz w:val="24"/>
                <w:szCs w:val="24"/>
              </w:rPr>
              <w:t>h) 负责数据分析和纠正预防措施的控制和管理；</w:t>
            </w:r>
          </w:p>
          <w:p>
            <w:pPr>
              <w:spacing w:line="360" w:lineRule="auto"/>
              <w:ind w:left="210" w:leftChars="100"/>
              <w:rPr>
                <w:rFonts w:ascii="宋体" w:hAnsi="宋体" w:eastAsia="宋体" w:cs="宋体"/>
                <w:sz w:val="24"/>
                <w:szCs w:val="24"/>
              </w:rPr>
            </w:pPr>
            <w:r>
              <w:rPr>
                <w:rFonts w:hint="eastAsia" w:ascii="宋体" w:hAnsi="宋体" w:eastAsia="宋体" w:cs="宋体"/>
                <w:sz w:val="24"/>
                <w:szCs w:val="24"/>
              </w:rPr>
              <w:t>i）是公司环境因素识别、评价的主管部门，负责组织各部门环境因素的识别和评价工作，负责制定公司目标、指标和管理方案；</w:t>
            </w:r>
          </w:p>
          <w:p>
            <w:pPr>
              <w:spacing w:line="360" w:lineRule="auto"/>
              <w:ind w:left="210" w:leftChars="100"/>
              <w:rPr>
                <w:rFonts w:ascii="宋体" w:hAnsi="宋体" w:eastAsia="宋体" w:cs="宋体"/>
                <w:sz w:val="24"/>
                <w:szCs w:val="24"/>
              </w:rPr>
            </w:pPr>
            <w:r>
              <w:rPr>
                <w:rFonts w:hint="eastAsia" w:ascii="宋体" w:hAnsi="宋体" w:eastAsia="宋体" w:cs="宋体"/>
                <w:sz w:val="24"/>
                <w:szCs w:val="24"/>
              </w:rPr>
              <w:t>j) 是公司运行控制的主管部门，负责</w:t>
            </w:r>
            <w:r>
              <w:rPr>
                <w:rFonts w:hint="eastAsia" w:ascii="宋体" w:hAnsi="宋体" w:eastAsia="宋体" w:cs="宋体"/>
                <w:sz w:val="24"/>
                <w:szCs w:val="24"/>
                <w:lang w:eastAsia="zh-CN"/>
              </w:rPr>
              <w:t>物业管理</w:t>
            </w:r>
            <w:r>
              <w:rPr>
                <w:rFonts w:hint="eastAsia" w:ascii="宋体" w:hAnsi="宋体" w:eastAsia="宋体" w:cs="宋体"/>
                <w:sz w:val="24"/>
                <w:szCs w:val="24"/>
              </w:rPr>
              <w:t>服务现场和库房区域的环境</w:t>
            </w:r>
            <w:r>
              <w:rPr>
                <w:rFonts w:hint="eastAsia" w:ascii="宋体" w:hAnsi="宋体" w:eastAsia="宋体" w:cs="宋体"/>
                <w:sz w:val="24"/>
                <w:szCs w:val="24"/>
                <w:lang w:eastAsia="zh-CN"/>
              </w:rPr>
              <w:t>管理</w:t>
            </w:r>
            <w:r>
              <w:rPr>
                <w:rFonts w:hint="eastAsia" w:ascii="宋体" w:hAnsi="宋体" w:eastAsia="宋体" w:cs="宋体"/>
                <w:sz w:val="24"/>
                <w:szCs w:val="24"/>
              </w:rPr>
              <w:t>的运行控制；</w:t>
            </w:r>
          </w:p>
          <w:p>
            <w:pPr>
              <w:spacing w:line="360" w:lineRule="auto"/>
              <w:ind w:left="210" w:leftChars="100"/>
              <w:rPr>
                <w:rFonts w:ascii="宋体" w:hAnsi="宋体" w:eastAsia="宋体" w:cs="宋体"/>
                <w:sz w:val="24"/>
                <w:szCs w:val="24"/>
              </w:rPr>
            </w:pPr>
            <w:r>
              <w:rPr>
                <w:rFonts w:hint="eastAsia" w:ascii="宋体" w:hAnsi="宋体" w:eastAsia="宋体" w:cs="宋体"/>
                <w:sz w:val="24"/>
                <w:szCs w:val="24"/>
              </w:rPr>
              <w:t>k) 是应急准备和响应的主管部门，负责制定应急预案并必要时组织演练施；</w:t>
            </w:r>
          </w:p>
          <w:p>
            <w:pPr>
              <w:spacing w:line="360" w:lineRule="auto"/>
              <w:ind w:left="210" w:leftChars="100"/>
              <w:rPr>
                <w:rFonts w:ascii="宋体" w:hAnsi="宋体" w:eastAsia="宋体" w:cs="宋体"/>
                <w:sz w:val="24"/>
                <w:szCs w:val="24"/>
              </w:rPr>
            </w:pPr>
            <w:r>
              <w:rPr>
                <w:rFonts w:hint="eastAsia" w:ascii="宋体" w:hAnsi="宋体" w:eastAsia="宋体" w:cs="宋体"/>
                <w:sz w:val="24"/>
                <w:szCs w:val="24"/>
              </w:rPr>
              <w:t>l) 负责公司环境绩效的监视和测量，对发现的环境和安全问题进行整改跟踪；</w:t>
            </w:r>
          </w:p>
          <w:p>
            <w:pPr>
              <w:pStyle w:val="15"/>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——跟踪核查其管理手册5.3文件内容，其部门负责人表述与文件规定基本一致。</w:t>
            </w:r>
          </w:p>
          <w:p>
            <w:pPr>
              <w:spacing w:line="360" w:lineRule="auto"/>
              <w:rPr>
                <w:sz w:val="24"/>
                <w:szCs w:val="24"/>
              </w:rPr>
            </w:pP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Theme="minorEastAsia" w:hAnsiTheme="minorEastAsia" w:eastAsiaTheme="minorEastAsia" w:cstheme="minorEastAsia"/>
                <w:sz w:val="24"/>
                <w:szCs w:val="24"/>
              </w:rPr>
            </w:pPr>
            <w:r>
              <w:rPr>
                <w:rFonts w:hint="eastAsia" w:ascii="宋体" w:hAnsi="宋体" w:eastAsia="宋体" w:cs="宋体"/>
                <w:b w:val="0"/>
                <w:bCs w:val="0"/>
                <w:color w:val="auto"/>
                <w:sz w:val="24"/>
                <w:szCs w:val="24"/>
                <w:lang w:val="en-US" w:eastAsia="zh-CN"/>
              </w:rPr>
              <w:t>工作人员参与和协商</w:t>
            </w:r>
          </w:p>
        </w:tc>
        <w:tc>
          <w:tcPr>
            <w:tcW w:w="960" w:type="dxa"/>
          </w:tcPr>
          <w:p>
            <w:pPr>
              <w:spacing w:line="360" w:lineRule="auto"/>
              <w:rPr>
                <w:rFonts w:hint="default"/>
                <w:sz w:val="24"/>
                <w:szCs w:val="24"/>
                <w:lang w:val="en-US" w:eastAsia="zh-CN"/>
              </w:rPr>
            </w:pPr>
            <w:r>
              <w:rPr>
                <w:rFonts w:hint="eastAsia"/>
                <w:sz w:val="24"/>
                <w:szCs w:val="24"/>
                <w:lang w:val="en-US" w:eastAsia="zh-CN"/>
              </w:rPr>
              <w:t>S5.4</w:t>
            </w:r>
          </w:p>
        </w:tc>
        <w:tc>
          <w:tcPr>
            <w:tcW w:w="10004" w:type="dxa"/>
          </w:tcPr>
          <w:p>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 xml:space="preserve">经全体员工推举，职工代表大会代表组长讨论，同意 </w:t>
            </w:r>
            <w:r>
              <w:rPr>
                <w:rFonts w:hint="eastAsia" w:ascii="宋体" w:hAnsi="宋体" w:eastAsia="宋体"/>
                <w:b/>
                <w:bCs/>
                <w:sz w:val="24"/>
                <w:szCs w:val="24"/>
                <w:u w:val="single"/>
                <w:lang w:val="en-US" w:eastAsia="zh-CN"/>
              </w:rPr>
              <w:t>于双美</w:t>
            </w:r>
            <w:r>
              <w:rPr>
                <w:rFonts w:hint="eastAsia" w:ascii="宋体" w:hAnsi="宋体" w:eastAsia="宋体"/>
                <w:b/>
                <w:bCs/>
                <w:sz w:val="24"/>
                <w:szCs w:val="24"/>
                <w:u w:val="single"/>
                <w:lang w:eastAsia="zh-CN"/>
              </w:rPr>
              <w:t xml:space="preserve"> </w:t>
            </w:r>
            <w:r>
              <w:rPr>
                <w:rFonts w:hint="eastAsia" w:ascii="宋体" w:hAnsi="宋体" w:eastAsia="宋体"/>
                <w:sz w:val="24"/>
                <w:szCs w:val="24"/>
                <w:lang w:eastAsia="zh-CN"/>
              </w:rPr>
              <w:t>为职业健康安全管理体系的安全事务代表，除公司任命的其他职责外，应具有以下方面的职责和权限：</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⑴  参与公司职业健康安全方针、目标和管理方案的制定；</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⑵  参与危险源的辨识、风险评价和控制措施的确定；</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⑶  参与适用于公司的职业健康安全法律法规和其它要求的识别与更新；</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⑷  代表员工就公司职业健康安全事项和公司最高管理层进行协商和沟通；</w:t>
            </w:r>
          </w:p>
          <w:p>
            <w:pPr>
              <w:spacing w:line="360" w:lineRule="auto"/>
              <w:rPr>
                <w:rFonts w:hint="eastAsia" w:eastAsia="宋体"/>
                <w:sz w:val="24"/>
                <w:szCs w:val="24"/>
                <w:lang w:eastAsia="zh-CN"/>
              </w:rPr>
            </w:pPr>
            <w:r>
              <w:rPr>
                <w:rFonts w:hint="eastAsia" w:ascii="宋体" w:hAnsi="宋体" w:eastAsia="宋体"/>
                <w:sz w:val="24"/>
                <w:szCs w:val="24"/>
                <w:lang w:eastAsia="zh-CN"/>
              </w:rPr>
              <w:t>⑸  参加事件的调查等。</w:t>
            </w:r>
            <w:r>
              <w:rPr>
                <w:rFonts w:hint="eastAsia" w:eastAsia="宋体"/>
                <w:sz w:val="24"/>
                <w:szCs w:val="24"/>
                <w:lang w:eastAsia="zh-CN"/>
              </w:rPr>
              <w:t xml:space="preserve"> </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总经理：</w:t>
            </w:r>
            <w:r>
              <w:rPr>
                <w:rFonts w:ascii="宋体" w:hAnsi="宋体" w:eastAsia="宋体"/>
                <w:sz w:val="24"/>
                <w:szCs w:val="24"/>
                <w:lang w:eastAsia="zh-CN"/>
              </w:rPr>
              <w:t xml:space="preserve">  </w:t>
            </w:r>
            <w:r>
              <w:rPr>
                <w:rFonts w:hint="eastAsia" w:ascii="宋体" w:hAnsi="宋体" w:eastAsia="宋体"/>
                <w:sz w:val="24"/>
                <w:szCs w:val="24"/>
                <w:lang w:val="en-US" w:eastAsia="zh-CN"/>
              </w:rPr>
              <w:t>姚辉光</w:t>
            </w:r>
            <w:r>
              <w:rPr>
                <w:rFonts w:ascii="宋体" w:hAnsi="宋体" w:eastAsia="宋体"/>
                <w:sz w:val="24"/>
                <w:szCs w:val="24"/>
                <w:lang w:eastAsia="zh-CN"/>
              </w:rPr>
              <w:t xml:space="preserve">     </w:t>
            </w:r>
            <w:r>
              <w:rPr>
                <w:rFonts w:hint="eastAsia" w:ascii="宋体" w:hAnsi="宋体" w:eastAsia="宋体"/>
                <w:sz w:val="24"/>
                <w:szCs w:val="24"/>
                <w:lang w:eastAsia="zh-CN"/>
              </w:rPr>
              <w:t xml:space="preserve">   </w:t>
            </w:r>
          </w:p>
          <w:p>
            <w:pPr>
              <w:autoSpaceDE w:val="0"/>
              <w:autoSpaceDN w:val="0"/>
              <w:adjustRightInd w:val="0"/>
              <w:spacing w:line="360" w:lineRule="auto"/>
              <w:rPr>
                <w:rFonts w:ascii="宋体" w:hAns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期：20</w:t>
            </w:r>
            <w:r>
              <w:rPr>
                <w:rFonts w:hint="eastAsia" w:ascii="宋体" w:hAnsi="宋体" w:eastAsia="宋体"/>
                <w:sz w:val="24"/>
                <w:szCs w:val="24"/>
                <w:lang w:val="en-US" w:eastAsia="zh-CN"/>
              </w:rPr>
              <w:t>21</w:t>
            </w:r>
            <w:r>
              <w:rPr>
                <w:rFonts w:hint="eastAsia" w:ascii="宋体" w:hAnsi="宋体"/>
                <w:sz w:val="24"/>
                <w:szCs w:val="24"/>
              </w:rPr>
              <w:t>年</w:t>
            </w:r>
            <w:r>
              <w:rPr>
                <w:rFonts w:hint="eastAsia" w:ascii="宋体" w:hAnsi="宋体" w:eastAsia="宋体"/>
                <w:sz w:val="24"/>
                <w:szCs w:val="24"/>
                <w:lang w:val="en-US" w:eastAsia="zh-CN"/>
              </w:rPr>
              <w:t>8</w:t>
            </w:r>
            <w:r>
              <w:rPr>
                <w:rFonts w:hint="eastAsia" w:ascii="宋体" w:hAnsi="宋体"/>
                <w:sz w:val="24"/>
                <w:szCs w:val="24"/>
              </w:rPr>
              <w:t>月</w:t>
            </w:r>
            <w:r>
              <w:rPr>
                <w:rFonts w:ascii="宋体" w:hAnsi="宋体"/>
                <w:sz w:val="24"/>
                <w:szCs w:val="24"/>
              </w:rPr>
              <w:t>10</w:t>
            </w:r>
            <w:r>
              <w:rPr>
                <w:rFonts w:hint="eastAsia" w:ascii="宋体" w:hAnsi="宋体"/>
                <w:sz w:val="24"/>
                <w:szCs w:val="24"/>
              </w:rPr>
              <w:t>日</w:t>
            </w:r>
          </w:p>
          <w:p>
            <w:pPr>
              <w:spacing w:line="360" w:lineRule="auto"/>
              <w:rPr>
                <w:sz w:val="24"/>
                <w:szCs w:val="24"/>
              </w:rPr>
            </w:pP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sz w:val="24"/>
                <w:szCs w:val="24"/>
              </w:rPr>
            </w:pPr>
            <w:r>
              <w:rPr>
                <w:rFonts w:hint="eastAsia" w:asciiTheme="minorEastAsia" w:hAnsiTheme="minorEastAsia" w:eastAsiaTheme="minorEastAsia" w:cstheme="minorEastAsia"/>
                <w:sz w:val="24"/>
                <w:szCs w:val="24"/>
                <w:highlight w:val="none"/>
              </w:rPr>
              <w:t>环境因素、危险源</w:t>
            </w:r>
            <w:r>
              <w:rPr>
                <w:rFonts w:hint="eastAsia" w:asciiTheme="minorEastAsia" w:hAnsiTheme="minorEastAsia" w:eastAsiaTheme="minorEastAsia" w:cstheme="minorEastAsia"/>
                <w:sz w:val="24"/>
                <w:szCs w:val="24"/>
                <w:highlight w:val="none"/>
                <w:lang w:val="en-US" w:eastAsia="zh-CN"/>
              </w:rPr>
              <w:t>及职业健康安全风险和机遇的</w:t>
            </w:r>
            <w:r>
              <w:rPr>
                <w:rFonts w:hint="eastAsia" w:asciiTheme="minorEastAsia" w:hAnsiTheme="minorEastAsia" w:eastAsiaTheme="minorEastAsia" w:cstheme="minorEastAsia"/>
                <w:sz w:val="24"/>
                <w:szCs w:val="24"/>
                <w:highlight w:val="none"/>
              </w:rPr>
              <w:t>识别控制</w:t>
            </w:r>
          </w:p>
        </w:tc>
        <w:tc>
          <w:tcPr>
            <w:tcW w:w="960" w:type="dxa"/>
          </w:tcPr>
          <w:p>
            <w:pPr>
              <w:spacing w:line="360" w:lineRule="auto"/>
              <w:rPr>
                <w:rFonts w:hint="default" w:eastAsia="宋体"/>
                <w:sz w:val="24"/>
                <w:szCs w:val="24"/>
                <w:lang w:val="en-US" w:eastAsia="zh-CN"/>
              </w:rPr>
            </w:pPr>
            <w:r>
              <w:rPr>
                <w:rFonts w:hint="eastAsia"/>
                <w:sz w:val="24"/>
                <w:szCs w:val="24"/>
                <w:lang w:val="en-US" w:eastAsia="zh-CN"/>
              </w:rPr>
              <w:t>ES6.1.2</w:t>
            </w:r>
          </w:p>
        </w:tc>
        <w:tc>
          <w:tcPr>
            <w:tcW w:w="10004" w:type="dxa"/>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策划</w:t>
            </w:r>
            <w:r>
              <w:rPr>
                <w:rFonts w:hint="eastAsia" w:asciiTheme="minorEastAsia" w:hAnsiTheme="minorEastAsia" w:eastAsiaTheme="minorEastAsia" w:cstheme="minorEastAsia"/>
                <w:sz w:val="24"/>
                <w:szCs w:val="24"/>
              </w:rPr>
              <w:t>有《环境因素识别与评价控制程序》、《危险源辩识风险评价控制程序》。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查《环境因素识别评价汇总表》，</w:t>
            </w:r>
            <w:r>
              <w:rPr>
                <w:rFonts w:hint="eastAsia" w:asciiTheme="minorEastAsia" w:hAnsiTheme="minorEastAsia" w:eastAsiaTheme="minorEastAsia" w:cstheme="minorEastAsia"/>
                <w:sz w:val="24"/>
                <w:szCs w:val="24"/>
              </w:rPr>
              <w:t xml:space="preserve"> 涉及本部门的环境因素有办公活动中生活垃圾排放、汽车维修固废排放、纸张等办公废品排放、墨盒、废旧电池等废品排放、火灾事故发生等。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查《重要环境因素清单》，采取多因子评价法，评价出固体废弃物排放、火灾事故的发生等2项重要环境因素，火灾废弃物。</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评价本部门的重要环境因素为日常办公过程中固体废弃物排放、火灾事故的发生等2项重要环境因素，火灾废弃物。控制措施：固废分类存放、办公危废交耗材供应公司，垃圾由环卫部门拉走，包装物分类卖掉，日常检查，日常培训教育，消防配备消防器材等措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查《危险源辨识和风险评价一览表》， 涉及本部门的危险源有办公活动过程中电脑辐射、被桌柜撞伤、线路老化、复印机臭氧污染，外来人员安全措施不当造成的火灾和人身伤害等。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查《不可接受风险清单》，评价出重大危险源2个，包括：火灾、人员伤害等，制订了相应的管理方案并已实施。</w:t>
            </w:r>
          </w:p>
          <w:p>
            <w:pPr>
              <w:spacing w:line="360" w:lineRule="auto"/>
              <w:ind w:firstLine="480" w:firstLineChars="200"/>
              <w:rPr>
                <w:sz w:val="24"/>
                <w:szCs w:val="24"/>
              </w:rPr>
            </w:pPr>
            <w:r>
              <w:rPr>
                <w:rFonts w:hint="eastAsia" w:asciiTheme="minorEastAsia" w:hAnsiTheme="minorEastAsia" w:eastAsiaTheme="minorEastAsia" w:cstheme="minorEastAsia"/>
                <w:sz w:val="24"/>
                <w:szCs w:val="24"/>
              </w:rPr>
              <w:t>危险源控制执行管理方案、配备消防器材、个体防护、日常检查、日常培训教育等运行控制措施等。</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4"/>
                <w:szCs w:val="24"/>
              </w:rPr>
            </w:pPr>
            <w:r>
              <w:rPr>
                <w:rFonts w:hint="eastAsia" w:asciiTheme="minorEastAsia" w:hAnsiTheme="minorEastAsia" w:eastAsiaTheme="minorEastAsia" w:cstheme="minorEastAsia"/>
                <w:sz w:val="24"/>
                <w:szCs w:val="24"/>
                <w:highlight w:val="none"/>
              </w:rPr>
              <w:t>合规义务</w:t>
            </w:r>
          </w:p>
        </w:tc>
        <w:tc>
          <w:tcPr>
            <w:tcW w:w="960" w:type="dxa"/>
          </w:tcPr>
          <w:p>
            <w:pPr>
              <w:spacing w:line="360" w:lineRule="auto"/>
              <w:rPr>
                <w:rFonts w:hint="default"/>
                <w:sz w:val="24"/>
                <w:szCs w:val="24"/>
                <w:lang w:val="en-US"/>
              </w:rPr>
            </w:pPr>
            <w:r>
              <w:rPr>
                <w:rFonts w:hint="eastAsia"/>
                <w:sz w:val="24"/>
                <w:szCs w:val="24"/>
                <w:lang w:val="en-US" w:eastAsia="zh-CN"/>
              </w:rPr>
              <w:t>ES6.1.3</w:t>
            </w:r>
          </w:p>
        </w:tc>
        <w:tc>
          <w:tcPr>
            <w:tcW w:w="10004" w:type="dxa"/>
          </w:tcPr>
          <w:p>
            <w:pPr>
              <w:tabs>
                <w:tab w:val="left" w:pos="6597"/>
              </w:tabs>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提供有</w:t>
            </w:r>
            <w:r>
              <w:rPr>
                <w:rFonts w:hint="eastAsia" w:asciiTheme="minorEastAsia" w:hAnsiTheme="minorEastAsia" w:eastAsiaTheme="minorEastAsia" w:cstheme="minorEastAsia"/>
                <w:sz w:val="24"/>
                <w:szCs w:val="24"/>
                <w:highlight w:val="none"/>
              </w:rPr>
              <w:t>《法律法规获取、评价与更新程序》</w:t>
            </w:r>
            <w:r>
              <w:rPr>
                <w:rFonts w:hint="eastAsia" w:asciiTheme="minorEastAsia" w:hAnsiTheme="minorEastAsia" w:eastAsiaTheme="minorEastAsia" w:cstheme="minorEastAsia"/>
                <w:sz w:val="24"/>
                <w:szCs w:val="24"/>
                <w:highlight w:val="none"/>
                <w:lang w:eastAsia="zh-CN"/>
              </w:rPr>
              <w:t>。</w:t>
            </w:r>
          </w:p>
          <w:p>
            <w:pPr>
              <w:tabs>
                <w:tab w:val="left" w:pos="6597"/>
              </w:tabs>
              <w:spacing w:line="360" w:lineRule="auto"/>
              <w:ind w:firstLine="480" w:firstLineChars="200"/>
              <w:rPr>
                <w:rFonts w:hint="eastAsia" w:eastAsiaTheme="minorEastAsia"/>
                <w:sz w:val="24"/>
                <w:szCs w:val="24"/>
                <w:lang w:eastAsia="zh-CN"/>
              </w:rPr>
            </w:pPr>
            <w:r>
              <w:rPr>
                <w:rFonts w:hint="eastAsia" w:asciiTheme="minorEastAsia" w:hAnsiTheme="minorEastAsia" w:eastAsiaTheme="minorEastAsia" w:cstheme="minorEastAsia"/>
                <w:sz w:val="24"/>
                <w:szCs w:val="24"/>
                <w:highlight w:val="none"/>
                <w:lang w:eastAsia="zh-CN"/>
              </w:rPr>
              <w:t>查</w:t>
            </w:r>
            <w:r>
              <w:rPr>
                <w:rFonts w:hint="eastAsia" w:asciiTheme="minorEastAsia" w:hAnsiTheme="minorEastAsia" w:eastAsiaTheme="minorEastAsia" w:cstheme="minorEastAsia"/>
                <w:sz w:val="24"/>
                <w:szCs w:val="24"/>
                <w:highlight w:val="none"/>
              </w:rPr>
              <w:t>《环境、职业健康安全法律法规和其他要求清单》，其中包括：中华人民共和国物权法</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住宅室内装饰装修管理办法</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物业服务企业资质管理办法</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物业管理条例</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《中华人民共和国环境保护法》、《中华人民共和国固体废弃物污染环境防治法》、《中华人民共和国环境噪声污染防治法》、《山东省消防条例》、《污水排入城镇下水管道水质标准》等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已识别法律法规及其它要求的适用条款，能与环境因素、危险源向对应。</w:t>
            </w:r>
          </w:p>
          <w:p>
            <w:pPr>
              <w:spacing w:line="360" w:lineRule="auto"/>
              <w:rPr>
                <w:sz w:val="24"/>
                <w:szCs w:val="24"/>
              </w:rPr>
            </w:pPr>
            <w:r>
              <w:rPr>
                <w:rFonts w:hint="eastAsia" w:asciiTheme="minorEastAsia" w:hAnsiTheme="minorEastAsia" w:eastAsiaTheme="minorEastAsia" w:cstheme="minorEastAsia"/>
                <w:sz w:val="24"/>
                <w:szCs w:val="24"/>
                <w:highlight w:val="none"/>
              </w:rPr>
              <w:t>行政部根据需要随时网上获取、识别更新，并通过培训、宣传、会议等形式传达给员工和相关方，各部门如有需要随时到行政部查阅。</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4"/>
                <w:szCs w:val="24"/>
              </w:rPr>
            </w:pPr>
            <w:r>
              <w:rPr>
                <w:rFonts w:hint="eastAsia" w:asciiTheme="minorEastAsia" w:hAnsiTheme="minorEastAsia" w:eastAsiaTheme="minorEastAsia" w:cstheme="minorEastAsia"/>
                <w:b w:val="0"/>
                <w:bCs w:val="0"/>
                <w:spacing w:val="10"/>
                <w:kern w:val="2"/>
                <w:sz w:val="24"/>
                <w:szCs w:val="24"/>
                <w:lang w:val="en-US" w:eastAsia="zh-CN" w:bidi="ar-SA"/>
              </w:rPr>
              <w:t>目标管理</w:t>
            </w:r>
          </w:p>
        </w:tc>
        <w:tc>
          <w:tcPr>
            <w:tcW w:w="960" w:type="dxa"/>
          </w:tcPr>
          <w:p>
            <w:pPr>
              <w:spacing w:line="360" w:lineRule="auto"/>
              <w:rPr>
                <w:rFonts w:hint="default"/>
                <w:sz w:val="24"/>
                <w:szCs w:val="24"/>
                <w:lang w:val="en-US" w:eastAsia="zh-CN"/>
              </w:rPr>
            </w:pPr>
            <w:r>
              <w:rPr>
                <w:rFonts w:hint="eastAsia"/>
                <w:sz w:val="24"/>
                <w:szCs w:val="24"/>
                <w:lang w:val="en-US" w:eastAsia="zh-CN"/>
              </w:rPr>
              <w:t>QES6.2</w:t>
            </w:r>
          </w:p>
        </w:tc>
        <w:tc>
          <w:tcPr>
            <w:tcW w:w="10004" w:type="dxa"/>
          </w:tcPr>
          <w:p>
            <w:pPr>
              <w:spacing w:line="360" w:lineRule="auto"/>
              <w:ind w:firstLine="480" w:firstLineChars="200"/>
              <w:rPr>
                <w:rFonts w:hint="eastAsia"/>
                <w:sz w:val="24"/>
                <w:szCs w:val="24"/>
                <w:lang w:val="en-US" w:eastAsia="zh-CN"/>
              </w:rPr>
            </w:pPr>
            <w:r>
              <w:rPr>
                <w:rFonts w:hint="eastAsia"/>
                <w:sz w:val="24"/>
                <w:szCs w:val="24"/>
                <w:lang w:val="en-US" w:eastAsia="zh-CN"/>
              </w:rPr>
              <w:t>提供有“环境、职业健康</w:t>
            </w:r>
            <w:r>
              <w:rPr>
                <w:rFonts w:hint="eastAsia"/>
                <w:sz w:val="24"/>
                <w:szCs w:val="24"/>
              </w:rPr>
              <w:t>目标管理方案</w:t>
            </w:r>
            <w:r>
              <w:rPr>
                <w:rFonts w:hint="eastAsia"/>
                <w:sz w:val="24"/>
                <w:szCs w:val="24"/>
                <w:lang w:eastAsia="zh-CN"/>
              </w:rPr>
              <w:t>”</w:t>
            </w:r>
            <w:r>
              <w:rPr>
                <w:rFonts w:hint="eastAsia"/>
                <w:sz w:val="24"/>
                <w:szCs w:val="24"/>
                <w:lang w:val="en-US" w:eastAsia="zh-CN"/>
              </w:rPr>
              <w:t>及“管理方案检查表”</w:t>
            </w:r>
            <w:r>
              <w:rPr>
                <w:rFonts w:hint="eastAsia"/>
                <w:sz w:val="24"/>
                <w:szCs w:val="24"/>
                <w:lang w:eastAsia="zh-CN"/>
              </w:rPr>
              <w:t>，</w:t>
            </w:r>
            <w:r>
              <w:rPr>
                <w:rFonts w:hint="eastAsia"/>
                <w:sz w:val="24"/>
                <w:szCs w:val="24"/>
                <w:lang w:val="en-US" w:eastAsia="zh-CN"/>
              </w:rPr>
              <w:t>内容包括目标、管理方案、执行部门、完成时间和资金支持等；编制：吕惠卿；审批：姚辉光。</w:t>
            </w:r>
          </w:p>
          <w:p>
            <w:pPr>
              <w:pStyle w:val="11"/>
              <w:spacing w:line="360" w:lineRule="auto"/>
              <w:ind w:firstLine="52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2021年度目标分解及月度汇总</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内容显示2021年度公司及行政部目标均已完成。</w:t>
            </w:r>
          </w:p>
          <w:p>
            <w:pPr>
              <w:pStyle w:val="11"/>
              <w:spacing w:line="360" w:lineRule="auto"/>
              <w:rPr>
                <w:sz w:val="24"/>
                <w:szCs w:val="24"/>
              </w:rPr>
            </w:pPr>
            <w:r>
              <w:rPr>
                <w:sz w:val="24"/>
                <w:szCs w:val="24"/>
              </w:rPr>
              <w:drawing>
                <wp:inline distT="0" distB="0" distL="114300" distR="114300">
                  <wp:extent cx="6130925" cy="25869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30925" cy="2586990"/>
                          </a:xfrm>
                          <a:prstGeom prst="rect">
                            <a:avLst/>
                          </a:prstGeom>
                          <a:noFill/>
                          <a:ln>
                            <a:noFill/>
                          </a:ln>
                        </pic:spPr>
                      </pic:pic>
                    </a:graphicData>
                  </a:graphic>
                </wp:inline>
              </w:drawing>
            </w:r>
          </w:p>
          <w:p>
            <w:pPr>
              <w:pStyle w:val="11"/>
              <w:spacing w:line="360" w:lineRule="auto"/>
              <w:rPr>
                <w:rFonts w:hint="default"/>
                <w:sz w:val="24"/>
                <w:szCs w:val="24"/>
                <w:lang w:val="en-US" w:eastAsia="zh-CN"/>
              </w:rPr>
            </w:pPr>
            <w:bookmarkStart w:id="4" w:name="_GoBack"/>
            <w:bookmarkEnd w:id="4"/>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b w:val="0"/>
                <w:bCs w:val="0"/>
                <w:spacing w:val="10"/>
                <w:kern w:val="2"/>
                <w:sz w:val="24"/>
                <w:szCs w:val="24"/>
                <w:lang w:val="en-US" w:eastAsia="zh-CN" w:bidi="ar-SA"/>
              </w:rPr>
            </w:pPr>
            <w:r>
              <w:rPr>
                <w:rFonts w:hint="eastAsia" w:ascii="宋体" w:hAnsi="宋体" w:eastAsia="宋体" w:cs="宋体"/>
                <w:b w:val="0"/>
                <w:bCs w:val="0"/>
                <w:sz w:val="24"/>
                <w:szCs w:val="24"/>
                <w:lang w:val="de-DE"/>
              </w:rPr>
              <w:t>组织知识</w:t>
            </w:r>
          </w:p>
        </w:tc>
        <w:tc>
          <w:tcPr>
            <w:tcW w:w="960" w:type="dxa"/>
          </w:tcPr>
          <w:p>
            <w:pPr>
              <w:spacing w:line="360" w:lineRule="auto"/>
              <w:rPr>
                <w:rFonts w:hint="default"/>
                <w:sz w:val="24"/>
                <w:szCs w:val="24"/>
                <w:lang w:val="en-US" w:eastAsia="zh-CN"/>
              </w:rPr>
            </w:pPr>
            <w:r>
              <w:rPr>
                <w:rFonts w:hint="eastAsia"/>
                <w:sz w:val="24"/>
                <w:szCs w:val="24"/>
                <w:lang w:val="en-US" w:eastAsia="zh-CN"/>
              </w:rPr>
              <w:t>Q7.1.6</w:t>
            </w:r>
          </w:p>
        </w:tc>
        <w:tc>
          <w:tcPr>
            <w:tcW w:w="10004" w:type="dxa"/>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公司各部门按照职责从内外部各种渠道获得与其职责相关所需的知识，包括</w:t>
            </w:r>
            <w:r>
              <w:rPr>
                <w:rFonts w:hint="eastAsia" w:cs="Times New Roman"/>
                <w:color w:val="auto"/>
                <w:sz w:val="24"/>
                <w:szCs w:val="24"/>
                <w:highlight w:val="none"/>
                <w:lang w:val="en-US" w:eastAsia="zh-CN"/>
              </w:rPr>
              <w:t>政策法规</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行业协会</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内部成功经验和</w:t>
            </w:r>
            <w:r>
              <w:rPr>
                <w:rFonts w:hint="default" w:ascii="Times New Roman" w:hAnsi="Times New Roman" w:cs="Times New Roman"/>
                <w:color w:val="auto"/>
                <w:sz w:val="24"/>
                <w:szCs w:val="24"/>
                <w:highlight w:val="none"/>
                <w:lang w:val="en-US" w:eastAsia="zh-CN"/>
              </w:rPr>
              <w:t>失败</w:t>
            </w:r>
            <w:r>
              <w:rPr>
                <w:rFonts w:hint="eastAsia" w:cs="Times New Roman"/>
                <w:color w:val="auto"/>
                <w:sz w:val="24"/>
                <w:szCs w:val="24"/>
                <w:highlight w:val="none"/>
                <w:lang w:val="en-US" w:eastAsia="zh-CN"/>
              </w:rPr>
              <w:t>教训、客户要求投诉、审核报告、认证标准</w:t>
            </w:r>
            <w:r>
              <w:rPr>
                <w:rFonts w:hint="default" w:ascii="Times New Roman" w:hAnsi="Times New Roman" w:cs="Times New Roman"/>
                <w:color w:val="auto"/>
                <w:sz w:val="24"/>
                <w:szCs w:val="24"/>
                <w:highlight w:val="none"/>
                <w:lang w:val="en-US" w:eastAsia="zh-CN"/>
              </w:rPr>
              <w:t>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从内部来源获取的有：多年的工作经验、教训等；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在应对变化的需求和趋势时，相关部门考虑现有的知识，确定如何获取更多的必要的额外知识，并根据变化的情况及时更新。</w:t>
            </w:r>
          </w:p>
          <w:p>
            <w:pPr>
              <w:pStyle w:val="11"/>
              <w:spacing w:line="360" w:lineRule="auto"/>
              <w:rPr>
                <w:rFonts w:hint="default"/>
                <w:sz w:val="24"/>
                <w:szCs w:val="24"/>
                <w:lang w:val="en-US" w:eastAsia="zh-CN"/>
              </w:rPr>
            </w:pP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b w:val="0"/>
                <w:bCs w:val="0"/>
                <w:sz w:val="24"/>
                <w:szCs w:val="24"/>
                <w:lang w:val="de-DE"/>
              </w:rPr>
            </w:pPr>
            <w:r>
              <w:rPr>
                <w:rFonts w:hint="eastAsia"/>
                <w:sz w:val="24"/>
                <w:szCs w:val="24"/>
                <w:lang w:val="en-US" w:eastAsia="zh-CN"/>
              </w:rPr>
              <w:t>能力</w:t>
            </w:r>
          </w:p>
        </w:tc>
        <w:tc>
          <w:tcPr>
            <w:tcW w:w="960" w:type="dxa"/>
          </w:tcPr>
          <w:p>
            <w:pPr>
              <w:spacing w:line="360" w:lineRule="auto"/>
              <w:rPr>
                <w:rFonts w:hint="default"/>
                <w:sz w:val="24"/>
                <w:szCs w:val="24"/>
                <w:lang w:val="en-US" w:eastAsia="zh-CN"/>
              </w:rPr>
            </w:pPr>
            <w:r>
              <w:rPr>
                <w:rFonts w:hint="eastAsia"/>
                <w:sz w:val="24"/>
                <w:szCs w:val="24"/>
                <w:lang w:val="en-US" w:eastAsia="zh-CN"/>
              </w:rPr>
              <w:t>QES7.2</w:t>
            </w:r>
          </w:p>
        </w:tc>
        <w:tc>
          <w:tcPr>
            <w:tcW w:w="10004" w:type="dxa"/>
          </w:tcPr>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策划有“人力资源控制程序”。</w:t>
            </w:r>
          </w:p>
          <w:p>
            <w:pPr>
              <w:spacing w:line="360" w:lineRule="auto"/>
              <w:ind w:firstLine="42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提供有“员工能力确认记录”，内容包括业务知识、管理能力、责任意识及考核结论；评价人：姚辉光；日期：2021.8.10</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抽查持证上岗人员：</w:t>
            </w:r>
          </w:p>
          <w:p>
            <w:pPr>
              <w:pStyle w:val="11"/>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于双美；食品安全管理员；编号：2021-1663；</w:t>
            </w:r>
            <w:bookmarkStart w:id="2" w:name="OLE_LINK2"/>
            <w:r>
              <w:rPr>
                <w:rFonts w:hint="eastAsia" w:asciiTheme="minorEastAsia" w:hAnsiTheme="minorEastAsia" w:eastAsiaTheme="minorEastAsia" w:cstheme="minorEastAsia"/>
                <w:sz w:val="24"/>
                <w:szCs w:val="24"/>
                <w:lang w:val="en-US" w:eastAsia="zh-CN"/>
              </w:rPr>
              <w:t>有效期：</w:t>
            </w:r>
            <w:bookmarkEnd w:id="2"/>
            <w:r>
              <w:rPr>
                <w:rFonts w:hint="eastAsia" w:asciiTheme="minorEastAsia" w:hAnsiTheme="minorEastAsia" w:eastAsiaTheme="minorEastAsia" w:cstheme="minorEastAsia"/>
                <w:sz w:val="24"/>
                <w:szCs w:val="24"/>
                <w:lang w:val="en-US" w:eastAsia="zh-CN"/>
              </w:rPr>
              <w:t>2024.10.18.；发证单位：威海市食品药品管理协会。</w:t>
            </w:r>
          </w:p>
          <w:p>
            <w:pPr>
              <w:pStyle w:val="11"/>
              <w:numPr>
                <w:ilvl w:val="0"/>
                <w:numId w:val="1"/>
              </w:num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单超：健康证；编号：B371002021013927;有效期：2022.4.9.；发证单位：威海市胸科医院。</w:t>
            </w:r>
          </w:p>
          <w:p>
            <w:pPr>
              <w:pStyle w:val="11"/>
              <w:numPr>
                <w:ilvl w:val="0"/>
                <w:numId w:val="1"/>
              </w:num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姜忠利；A4;编号：370632197303087836；有效期：2023.12.9.；发证单位：威海市市场监督管理局。</w:t>
            </w:r>
          </w:p>
          <w:p>
            <w:pPr>
              <w:pStyle w:val="11"/>
              <w:numPr>
                <w:ilvl w:val="0"/>
                <w:numId w:val="1"/>
              </w:num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姜忠利；消防安全结业证；编号：20101105000124；有效期：长期；发证单位：山东省金盾消防安保服务公司威海分公司。</w:t>
            </w:r>
          </w:p>
          <w:p>
            <w:pPr>
              <w:pStyle w:val="11"/>
              <w:numPr>
                <w:ilvl w:val="0"/>
                <w:numId w:val="1"/>
              </w:num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姜忠利；低压电工作业；编号：T370632197303087836；有效期：2022.4.28.；发证单位：威海市安全生产监督管理局。</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提供有《2021年度培训计划》</w:t>
            </w:r>
            <w:r>
              <w:rPr>
                <w:rFonts w:hint="eastAsia" w:asciiTheme="minorEastAsia" w:hAnsiTheme="minorEastAsia" w:eastAsiaTheme="minorEastAsia" w:cstheme="minorEastAsia"/>
                <w:sz w:val="24"/>
                <w:szCs w:val="24"/>
              </w:rPr>
              <w:t>，编制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吕惠卿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审批：姚辉光；</w:t>
            </w:r>
            <w:r>
              <w:rPr>
                <w:rFonts w:hint="eastAsia" w:asciiTheme="minorEastAsia" w:hAnsiTheme="minorEastAsia" w:eastAsiaTheme="minorEastAsia" w:cstheme="minorEastAsia"/>
                <w:sz w:val="24"/>
                <w:szCs w:val="24"/>
              </w:rPr>
              <w:t>培训内容涉及：标准、体系文件、</w:t>
            </w:r>
            <w:r>
              <w:rPr>
                <w:rFonts w:hint="eastAsia" w:asciiTheme="minorEastAsia" w:hAnsiTheme="minorEastAsia" w:eastAsiaTheme="minorEastAsia" w:cstheme="minorEastAsia"/>
                <w:sz w:val="24"/>
                <w:szCs w:val="24"/>
                <w:lang w:val="en-US" w:eastAsia="zh-CN"/>
              </w:rPr>
              <w:t>法律</w:t>
            </w:r>
            <w:r>
              <w:rPr>
                <w:rFonts w:hint="eastAsia" w:asciiTheme="minorEastAsia" w:hAnsiTheme="minorEastAsia" w:eastAsiaTheme="minorEastAsia" w:cstheme="minorEastAsia"/>
                <w:sz w:val="24"/>
                <w:szCs w:val="24"/>
              </w:rPr>
              <w:t>法规、</w:t>
            </w:r>
            <w:r>
              <w:rPr>
                <w:rFonts w:hint="eastAsia" w:asciiTheme="minorEastAsia" w:hAnsiTheme="minorEastAsia" w:eastAsiaTheme="minorEastAsia" w:cstheme="minorEastAsia"/>
                <w:sz w:val="24"/>
                <w:szCs w:val="24"/>
                <w:lang w:val="en-US" w:eastAsia="zh-CN"/>
              </w:rPr>
              <w:t>环境因素、危险源、</w:t>
            </w:r>
            <w:r>
              <w:rPr>
                <w:rFonts w:hint="eastAsia" w:asciiTheme="minorEastAsia" w:hAnsiTheme="minorEastAsia" w:eastAsiaTheme="minorEastAsia" w:cstheme="minorEastAsia"/>
                <w:sz w:val="24"/>
                <w:szCs w:val="24"/>
              </w:rPr>
              <w:t>应急预案、</w:t>
            </w:r>
            <w:r>
              <w:rPr>
                <w:rFonts w:hint="eastAsia" w:asciiTheme="minorEastAsia" w:hAnsiTheme="minorEastAsia" w:eastAsiaTheme="minorEastAsia" w:cstheme="minorEastAsia"/>
                <w:sz w:val="24"/>
                <w:szCs w:val="24"/>
                <w:lang w:val="en-US" w:eastAsia="zh-CN"/>
              </w:rPr>
              <w:t>客诉处理知识</w:t>
            </w:r>
            <w:r>
              <w:rPr>
                <w:rFonts w:hint="eastAsia" w:asciiTheme="minorEastAsia" w:hAnsiTheme="minorEastAsia" w:eastAsiaTheme="minorEastAsia" w:cstheme="minorEastAsia"/>
                <w:sz w:val="24"/>
                <w:szCs w:val="24"/>
              </w:rPr>
              <w:t>等培训。</w:t>
            </w:r>
          </w:p>
          <w:p>
            <w:pPr>
              <w:pStyle w:val="11"/>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抽查</w:t>
            </w:r>
            <w:r>
              <w:rPr>
                <w:rFonts w:hint="eastAsia" w:asciiTheme="minorEastAsia" w:hAnsiTheme="minorEastAsia" w:eastAsiaTheme="minorEastAsia" w:cstheme="minorEastAsia"/>
                <w:sz w:val="24"/>
                <w:szCs w:val="24"/>
                <w:lang w:val="en-US" w:eastAsia="zh-CN"/>
              </w:rPr>
              <w:t>相对应的</w:t>
            </w:r>
            <w:r>
              <w:rPr>
                <w:rFonts w:hint="eastAsia" w:asciiTheme="minorEastAsia" w:hAnsiTheme="minorEastAsia" w:eastAsiaTheme="minorEastAsia" w:cstheme="minorEastAsia"/>
                <w:sz w:val="24"/>
                <w:szCs w:val="24"/>
                <w:lang w:eastAsia="zh-CN"/>
              </w:rPr>
              <w:t>《培训记录表》，</w:t>
            </w:r>
          </w:p>
          <w:p>
            <w:pPr>
              <w:pStyle w:val="11"/>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1、2021.3.20.；QES标准培训，培训对象：姚辉光、</w:t>
            </w:r>
            <w:r>
              <w:rPr>
                <w:rFonts w:hint="eastAsia" w:asciiTheme="minorEastAsia" w:hAnsiTheme="minorEastAsia" w:eastAsiaTheme="minorEastAsia" w:cstheme="minorEastAsia"/>
                <w:sz w:val="24"/>
                <w:szCs w:val="24"/>
              </w:rPr>
              <w:t>吕惠卿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秦晓霞等22名员工。</w:t>
            </w:r>
          </w:p>
          <w:p>
            <w:pPr>
              <w:pStyle w:val="11"/>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2、2021.6.6.；法律法规学习；</w:t>
            </w:r>
            <w:bookmarkStart w:id="3" w:name="OLE_LINK1"/>
            <w:r>
              <w:rPr>
                <w:rFonts w:hint="eastAsia" w:asciiTheme="minorEastAsia" w:hAnsiTheme="minorEastAsia" w:eastAsiaTheme="minorEastAsia" w:cstheme="minorEastAsia"/>
                <w:sz w:val="24"/>
                <w:szCs w:val="24"/>
                <w:lang w:val="en-US" w:eastAsia="zh-CN"/>
              </w:rPr>
              <w:t>培训对象：姚辉光、</w:t>
            </w:r>
            <w:r>
              <w:rPr>
                <w:rFonts w:hint="eastAsia" w:asciiTheme="minorEastAsia" w:hAnsiTheme="minorEastAsia" w:eastAsiaTheme="minorEastAsia" w:cstheme="minorEastAsia"/>
                <w:sz w:val="24"/>
                <w:szCs w:val="24"/>
              </w:rPr>
              <w:t>吕惠卿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秦晓霞等22名员工。</w:t>
            </w:r>
            <w:bookmarkEnd w:id="3"/>
          </w:p>
          <w:p>
            <w:pPr>
              <w:pStyle w:val="11"/>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3、2021.7.17.；环境因素、危险源的识别培训，培训对象：姚辉光、</w:t>
            </w:r>
            <w:r>
              <w:rPr>
                <w:rFonts w:hint="eastAsia" w:asciiTheme="minorEastAsia" w:hAnsiTheme="minorEastAsia" w:eastAsiaTheme="minorEastAsia" w:cstheme="minorEastAsia"/>
                <w:sz w:val="24"/>
                <w:szCs w:val="24"/>
              </w:rPr>
              <w:t>吕惠卿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秦晓霞等22名员工。</w:t>
            </w:r>
          </w:p>
          <w:p>
            <w:pPr>
              <w:pStyle w:val="11"/>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——以上培训均有效果评价。</w:t>
            </w:r>
          </w:p>
          <w:p>
            <w:pPr>
              <w:pStyle w:val="11"/>
              <w:spacing w:line="360" w:lineRule="auto"/>
              <w:rPr>
                <w:rFonts w:hint="default"/>
                <w:sz w:val="24"/>
                <w:szCs w:val="24"/>
                <w:lang w:val="en-US"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ES</w:t>
            </w:r>
            <w:r>
              <w:rPr>
                <w:rFonts w:hint="eastAsia" w:asciiTheme="minorEastAsia" w:hAnsiTheme="minorEastAsia" w:eastAsiaTheme="minorEastAsia" w:cstheme="minorEastAsia"/>
                <w:sz w:val="24"/>
                <w:szCs w:val="24"/>
              </w:rPr>
              <w:t>运行控制</w:t>
            </w:r>
          </w:p>
        </w:tc>
        <w:tc>
          <w:tcPr>
            <w:tcW w:w="960" w:type="dxa"/>
          </w:tcPr>
          <w:p>
            <w:pPr>
              <w:spacing w:line="360" w:lineRule="auto"/>
              <w:rPr>
                <w:rFonts w:hint="default"/>
                <w:sz w:val="24"/>
                <w:szCs w:val="24"/>
                <w:lang w:val="en-US" w:eastAsia="zh-CN"/>
              </w:rPr>
            </w:pPr>
            <w:r>
              <w:rPr>
                <w:rFonts w:hint="eastAsia"/>
                <w:sz w:val="24"/>
                <w:szCs w:val="24"/>
                <w:lang w:val="en-US" w:eastAsia="zh-CN"/>
              </w:rPr>
              <w:t>ES8.1</w:t>
            </w:r>
          </w:p>
        </w:tc>
        <w:tc>
          <w:tcPr>
            <w:tcW w:w="10004" w:type="dxa"/>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w:t>
            </w:r>
            <w:r>
              <w:rPr>
                <w:rFonts w:hint="eastAsia" w:asciiTheme="minorEastAsia" w:hAnsiTheme="minorEastAsia" w:eastAsiaTheme="minorEastAsia" w:cstheme="minorEastAsia"/>
                <w:sz w:val="24"/>
                <w:szCs w:val="24"/>
                <w:lang w:val="en-US" w:eastAsia="zh-CN"/>
              </w:rPr>
              <w:t>策划</w:t>
            </w:r>
            <w:r>
              <w:rPr>
                <w:rFonts w:hint="eastAsia" w:asciiTheme="minorEastAsia" w:hAnsiTheme="minorEastAsia" w:eastAsiaTheme="minorEastAsia" w:cstheme="minorEastAsia"/>
                <w:sz w:val="24"/>
                <w:szCs w:val="24"/>
              </w:rPr>
              <w:t>并实施了《固体废弃物控制程序》、《环境保护管理办法》、《节约能源资源管理办法》、《职工安全守则》、《消防安全管理程序》、《火灾应急响应规范》、《应急预案》等环境与职业健康安全控制程序和管理制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行政部定期</w:t>
            </w:r>
            <w:r>
              <w:rPr>
                <w:rFonts w:hint="eastAsia" w:asciiTheme="minorEastAsia" w:hAnsiTheme="minorEastAsia" w:eastAsiaTheme="minorEastAsia" w:cstheme="minorEastAsia"/>
                <w:sz w:val="24"/>
                <w:szCs w:val="24"/>
                <w:lang w:val="en-US" w:eastAsia="zh-CN"/>
              </w:rPr>
              <w:t>安排</w:t>
            </w:r>
            <w:r>
              <w:rPr>
                <w:rFonts w:hint="eastAsia" w:asciiTheme="minorEastAsia" w:hAnsiTheme="minorEastAsia" w:eastAsiaTheme="minorEastAsia" w:cstheme="minorEastAsia"/>
                <w:sz w:val="24"/>
                <w:szCs w:val="24"/>
              </w:rPr>
              <w:t>环保和安全知识培训，员工具备了基本的环保和职业健康安全防护意识。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行政部垃圾主要包含废纸、废硒鼓等。公司配置了垃圾箱，由政府环卫部门统一集中处理。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电器有漏电保护器，经常对电路、电源进行检查，没有露电现象发生。按公司要求人走灯</w:t>
            </w:r>
            <w:r>
              <w:rPr>
                <w:rFonts w:hint="eastAsia" w:asciiTheme="minorEastAsia" w:hAnsiTheme="minorEastAsia" w:eastAsiaTheme="minorEastAsia" w:cstheme="minorEastAsia"/>
                <w:sz w:val="24"/>
                <w:szCs w:val="24"/>
                <w:lang w:val="en-US" w:eastAsia="zh-CN"/>
              </w:rPr>
              <w:t>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电器</w:t>
            </w:r>
            <w:r>
              <w:rPr>
                <w:rFonts w:hint="eastAsia" w:asciiTheme="minorEastAsia" w:hAnsiTheme="minorEastAsia" w:eastAsiaTheme="minorEastAsia" w:cstheme="minorEastAsia"/>
                <w:sz w:val="24"/>
                <w:szCs w:val="24"/>
              </w:rPr>
              <w:t>要求人走后电源切断。</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查到劳保用品有</w:t>
            </w:r>
            <w:r>
              <w:rPr>
                <w:rFonts w:hint="eastAsia" w:asciiTheme="minorEastAsia" w:hAnsiTheme="minorEastAsia" w:eastAsiaTheme="minorEastAsia" w:cstheme="minorEastAsia"/>
                <w:sz w:val="24"/>
                <w:szCs w:val="24"/>
                <w:lang w:val="en-US" w:eastAsia="zh-CN"/>
              </w:rPr>
              <w:t>工服、</w:t>
            </w:r>
            <w:r>
              <w:rPr>
                <w:rFonts w:hint="eastAsia" w:asciiTheme="minorEastAsia" w:hAnsiTheme="minorEastAsia" w:eastAsiaTheme="minorEastAsia" w:cstheme="minorEastAsia"/>
                <w:sz w:val="24"/>
                <w:szCs w:val="24"/>
              </w:rPr>
              <w:t>口罩、洗衣粉、卫生纸等；发放人：秦晓霞。</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对废弃物，一部分由厂家回收，厂家不回收的公司统一回收再利用或由物资回收公司处理。不可回收的废弃物由公司行政部统一处理</w:t>
            </w:r>
            <w:r>
              <w:rPr>
                <w:rFonts w:hint="eastAsia" w:asciiTheme="minorEastAsia" w:hAnsiTheme="minorEastAsia" w:eastAsiaTheme="minorEastAsia" w:cstheme="minorEastAsia"/>
                <w:color w:val="auto"/>
                <w:sz w:val="24"/>
                <w:szCs w:val="24"/>
                <w:highlight w:val="none"/>
              </w:rPr>
              <w:t>，各部门不得单独处理。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办公纸张尽量采取双面打印，定期检查水管跑冒滴漏。</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现场巡视办公区域灭火器正常，电线、电气插座完整，未见</w:t>
            </w:r>
            <w:r>
              <w:rPr>
                <w:rFonts w:hint="eastAsia" w:asciiTheme="minorEastAsia" w:hAnsiTheme="minorEastAsia" w:eastAsiaTheme="minorEastAsia" w:cstheme="minorEastAsia"/>
                <w:color w:val="auto"/>
                <w:sz w:val="24"/>
                <w:szCs w:val="24"/>
                <w:highlight w:val="none"/>
                <w:lang w:val="en-US" w:eastAsia="zh-CN"/>
              </w:rPr>
              <w:t>明显安全</w:t>
            </w:r>
            <w:r>
              <w:rPr>
                <w:rFonts w:hint="eastAsia" w:asciiTheme="minorEastAsia" w:hAnsiTheme="minorEastAsia" w:eastAsiaTheme="minorEastAsia" w:cstheme="minorEastAsia"/>
                <w:color w:val="auto"/>
                <w:sz w:val="24"/>
                <w:szCs w:val="24"/>
                <w:highlight w:val="none"/>
              </w:rPr>
              <w:t>隐患。</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灭火器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消防栓</w:t>
            </w:r>
            <w:r>
              <w:rPr>
                <w:rFonts w:hint="eastAsia" w:asciiTheme="minorEastAsia" w:hAnsiTheme="minorEastAsia" w:eastAsiaTheme="minorEastAsia" w:cstheme="minorEastAsia"/>
                <w:color w:val="auto"/>
                <w:sz w:val="24"/>
                <w:szCs w:val="24"/>
                <w:highlight w:val="none"/>
              </w:rPr>
              <w:t>由甲方配置，公司管理，有消防栓、灭火器，每半年进行一次集中检查，提供</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检验记录，检查人姜忠利，基本正常。日常随时检查。</w:t>
            </w:r>
          </w:p>
          <w:p>
            <w:pPr>
              <w:pStyle w:val="11"/>
              <w:spacing w:line="360" w:lineRule="auto"/>
              <w:ind w:firstLine="52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提供有“2021年安全环保经费投入明细表”，内容显示，全年用于环保、安全方面的资金投入共6300元，包括培训、消防演习、垃圾清运费等，基本满足体系运行需要。</w:t>
            </w:r>
          </w:p>
          <w:p>
            <w:pPr>
              <w:pStyle w:val="11"/>
              <w:spacing w:line="360" w:lineRule="auto"/>
              <w:ind w:firstLine="52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出示有“2021年能源消耗统计表”，内容显示水、电节能目标均已达成。</w:t>
            </w:r>
          </w:p>
          <w:p>
            <w:pPr>
              <w:spacing w:line="360" w:lineRule="auto"/>
              <w:ind w:firstLine="480" w:firstLineChars="200"/>
              <w:rPr>
                <w:color w:val="000000"/>
                <w:sz w:val="24"/>
                <w:szCs w:val="24"/>
              </w:rPr>
            </w:pPr>
            <w:r>
              <w:rPr>
                <w:rFonts w:hint="eastAsia" w:asciiTheme="minorEastAsia" w:hAnsiTheme="minorEastAsia" w:eastAsiaTheme="minorEastAsia" w:cstheme="minorEastAsia"/>
                <w:sz w:val="24"/>
                <w:szCs w:val="24"/>
              </w:rPr>
              <w:t>查对供方、承包商、外包方等外来人员和临时人员的管理：行政部对供方、外来人员和临时人员等相关方</w:t>
            </w:r>
            <w:r>
              <w:rPr>
                <w:rFonts w:hint="eastAsia"/>
                <w:color w:val="000000"/>
                <w:sz w:val="24"/>
                <w:szCs w:val="24"/>
              </w:rPr>
              <w:t>将公司的环境</w:t>
            </w:r>
            <w:r>
              <w:rPr>
                <w:color w:val="000000"/>
                <w:sz w:val="24"/>
                <w:szCs w:val="24"/>
              </w:rPr>
              <w:t>/</w:t>
            </w:r>
            <w:r>
              <w:rPr>
                <w:rFonts w:hint="eastAsia"/>
                <w:color w:val="000000"/>
                <w:sz w:val="24"/>
                <w:szCs w:val="24"/>
              </w:rPr>
              <w:t>职业健康安全方针、重要环境因素</w:t>
            </w:r>
            <w:r>
              <w:rPr>
                <w:color w:val="000000"/>
                <w:sz w:val="24"/>
                <w:szCs w:val="24"/>
              </w:rPr>
              <w:t>/</w:t>
            </w:r>
            <w:r>
              <w:rPr>
                <w:rFonts w:hint="eastAsia"/>
                <w:color w:val="000000"/>
                <w:sz w:val="24"/>
                <w:szCs w:val="24"/>
              </w:rPr>
              <w:t>危险源</w:t>
            </w:r>
            <w:r>
              <w:rPr>
                <w:rFonts w:hint="eastAsia" w:asciiTheme="minorEastAsia" w:hAnsiTheme="minorEastAsia" w:eastAsiaTheme="minorEastAsia" w:cstheme="minorEastAsia"/>
                <w:sz w:val="24"/>
                <w:szCs w:val="24"/>
              </w:rPr>
              <w:t>进行告知，需遵守的公司规章制度。</w:t>
            </w:r>
            <w:r>
              <w:rPr>
                <w:rFonts w:hint="eastAsia"/>
                <w:color w:val="000000"/>
                <w:sz w:val="24"/>
                <w:szCs w:val="24"/>
              </w:rPr>
              <w:t>内容</w:t>
            </w:r>
            <w:r>
              <w:rPr>
                <w:color w:val="000000"/>
                <w:sz w:val="24"/>
                <w:szCs w:val="24"/>
              </w:rPr>
              <w:t>:</w:t>
            </w:r>
            <w:r>
              <w:rPr>
                <w:rFonts w:hint="eastAsia"/>
                <w:color w:val="000000"/>
                <w:sz w:val="24"/>
                <w:szCs w:val="24"/>
              </w:rPr>
              <w:t>等通过书面或口头的方式告知供方。向供应商告知，提供的产品应环保、绿色、健康，对供应商施加影响还包括在评定供应商时，获取质量、环境、职业健康安全管理体系证书则优先。</w:t>
            </w:r>
          </w:p>
          <w:p>
            <w:pPr>
              <w:pStyle w:val="11"/>
              <w:spacing w:line="360" w:lineRule="auto"/>
              <w:ind w:firstLine="520" w:firstLineChars="200"/>
              <w:rPr>
                <w:rFonts w:hint="default"/>
                <w:sz w:val="24"/>
                <w:szCs w:val="24"/>
                <w:lang w:val="en-US" w:eastAsia="zh-CN"/>
              </w:rPr>
            </w:pPr>
            <w:r>
              <w:rPr>
                <w:rFonts w:hint="eastAsia" w:asciiTheme="minorEastAsia" w:hAnsiTheme="minorEastAsia" w:eastAsiaTheme="minorEastAsia" w:cstheme="minorEastAsia"/>
                <w:sz w:val="24"/>
                <w:szCs w:val="24"/>
              </w:rPr>
              <w:t>体系运行以来未发生过变更，对变更的一些注意事项和要求已明确。</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sz w:val="24"/>
                <w:szCs w:val="24"/>
                <w:lang w:val="en-US" w:eastAsia="zh-CN"/>
              </w:rPr>
            </w:pPr>
            <w:r>
              <w:rPr>
                <w:rFonts w:hint="eastAsia" w:asciiTheme="minorEastAsia" w:hAnsiTheme="minorEastAsia" w:eastAsiaTheme="minorEastAsia" w:cstheme="minorEastAsia"/>
                <w:color w:val="auto"/>
                <w:sz w:val="24"/>
                <w:szCs w:val="24"/>
                <w:highlight w:val="none"/>
              </w:rPr>
              <w:t>应急准备和响应</w:t>
            </w:r>
          </w:p>
        </w:tc>
        <w:tc>
          <w:tcPr>
            <w:tcW w:w="960" w:type="dxa"/>
          </w:tcPr>
          <w:p>
            <w:pPr>
              <w:spacing w:line="360" w:lineRule="auto"/>
              <w:rPr>
                <w:rFonts w:hint="default"/>
                <w:sz w:val="24"/>
                <w:szCs w:val="24"/>
                <w:lang w:val="en-US" w:eastAsia="zh-CN"/>
              </w:rPr>
            </w:pPr>
            <w:r>
              <w:rPr>
                <w:rFonts w:hint="eastAsia"/>
                <w:sz w:val="24"/>
                <w:szCs w:val="24"/>
                <w:lang w:val="en-US" w:eastAsia="zh-CN"/>
              </w:rPr>
              <w:t>ES8.2</w:t>
            </w:r>
          </w:p>
        </w:tc>
        <w:tc>
          <w:tcPr>
            <w:tcW w:w="10004" w:type="dxa"/>
          </w:tcPr>
          <w:p>
            <w:pPr>
              <w:tabs>
                <w:tab w:val="left" w:pos="6597"/>
              </w:tabs>
              <w:spacing w:line="360" w:lineRule="auto"/>
              <w:ind w:firstLine="480" w:firstLineChars="200"/>
              <w:rPr>
                <w:rFonts w:hint="eastAsia"/>
                <w:sz w:val="24"/>
                <w:szCs w:val="24"/>
                <w:lang w:eastAsia="zh-CN"/>
              </w:rPr>
            </w:pPr>
            <w:r>
              <w:rPr>
                <w:rFonts w:hint="eastAsia"/>
                <w:sz w:val="24"/>
                <w:szCs w:val="24"/>
                <w:lang w:val="en-US" w:eastAsia="zh-CN"/>
              </w:rPr>
              <w:t>策划有</w:t>
            </w:r>
            <w:r>
              <w:rPr>
                <w:rFonts w:hint="eastAsia"/>
                <w:sz w:val="24"/>
                <w:szCs w:val="24"/>
              </w:rPr>
              <w:t>《应急准备和响应控制程序》，确定的紧急情况有：火灾、触电、人员伤亡等</w:t>
            </w:r>
            <w:r>
              <w:rPr>
                <w:rFonts w:hint="eastAsia"/>
                <w:sz w:val="24"/>
                <w:szCs w:val="24"/>
                <w:lang w:eastAsia="zh-CN"/>
              </w:rPr>
              <w:t>。</w:t>
            </w:r>
          </w:p>
          <w:p>
            <w:pPr>
              <w:tabs>
                <w:tab w:val="left" w:pos="6597"/>
              </w:tabs>
              <w:spacing w:line="360" w:lineRule="auto"/>
              <w:ind w:firstLine="480" w:firstLineChars="200"/>
              <w:rPr>
                <w:sz w:val="24"/>
                <w:szCs w:val="24"/>
              </w:rPr>
            </w:pPr>
            <w:r>
              <w:rPr>
                <w:rFonts w:hint="eastAsia"/>
                <w:sz w:val="24"/>
                <w:szCs w:val="24"/>
              </w:rPr>
              <w:t>提供《应急预案》</w:t>
            </w:r>
            <w:r>
              <w:rPr>
                <w:rFonts w:hint="eastAsia"/>
                <w:sz w:val="24"/>
                <w:szCs w:val="24"/>
                <w:lang w:eastAsia="zh-CN"/>
              </w:rPr>
              <w:t>包括：火灾事故应急救援预案、触电事故应急救援预案、突发事件应急预案、交通事故处理应急预案、食物中毒事故应急救援预案、天然气泄露事故应急救援预案。</w:t>
            </w:r>
          </w:p>
          <w:p>
            <w:pPr>
              <w:tabs>
                <w:tab w:val="left" w:pos="6597"/>
              </w:tabs>
              <w:spacing w:line="360" w:lineRule="auto"/>
              <w:ind w:firstLine="480" w:firstLineChars="200"/>
              <w:rPr>
                <w:rFonts w:hint="eastAsia"/>
                <w:sz w:val="24"/>
                <w:szCs w:val="24"/>
                <w:lang w:eastAsia="zh-CN"/>
              </w:rPr>
            </w:pPr>
            <w:r>
              <w:rPr>
                <w:rFonts w:hint="eastAsia"/>
                <w:sz w:val="24"/>
                <w:szCs w:val="24"/>
                <w:lang w:eastAsia="zh-CN"/>
              </w:rPr>
              <w:t>抽查</w:t>
            </w:r>
            <w:r>
              <w:rPr>
                <w:rFonts w:hint="eastAsia"/>
                <w:sz w:val="24"/>
                <w:szCs w:val="24"/>
                <w:lang w:val="en-US" w:eastAsia="zh-CN"/>
              </w:rPr>
              <w:t>2021.12.3.计划，2021.12.12.实施的</w:t>
            </w:r>
            <w:r>
              <w:rPr>
                <w:rFonts w:hint="eastAsia"/>
                <w:sz w:val="24"/>
                <w:szCs w:val="24"/>
              </w:rPr>
              <w:t>“消防演习记录”</w:t>
            </w:r>
            <w:r>
              <w:rPr>
                <w:rFonts w:hint="eastAsia"/>
                <w:sz w:val="24"/>
                <w:szCs w:val="24"/>
                <w:lang w:eastAsia="zh-CN"/>
              </w:rPr>
              <w:t>：</w:t>
            </w:r>
          </w:p>
          <w:p>
            <w:pPr>
              <w:tabs>
                <w:tab w:val="left" w:pos="6597"/>
              </w:tabs>
              <w:spacing w:line="360" w:lineRule="auto"/>
              <w:ind w:firstLine="480" w:firstLineChars="200"/>
              <w:rPr>
                <w:rFonts w:hint="eastAsia"/>
                <w:sz w:val="24"/>
                <w:szCs w:val="24"/>
              </w:rPr>
            </w:pPr>
            <w:r>
              <w:rPr>
                <w:rFonts w:hint="eastAsia"/>
                <w:sz w:val="24"/>
                <w:szCs w:val="24"/>
                <w:lang w:val="en-US" w:eastAsia="zh-CN"/>
              </w:rPr>
              <w:t>内容：</w:t>
            </w:r>
            <w:r>
              <w:rPr>
                <w:rFonts w:hint="eastAsia"/>
                <w:sz w:val="24"/>
                <w:szCs w:val="24"/>
              </w:rPr>
              <w:t>火灾扑救、逃生自救演习，地  点：办公室门前空阔处</w:t>
            </w:r>
            <w:r>
              <w:rPr>
                <w:rFonts w:hint="eastAsia"/>
                <w:sz w:val="24"/>
                <w:szCs w:val="24"/>
                <w:lang w:eastAsia="zh-CN"/>
              </w:rPr>
              <w:t>，</w:t>
            </w:r>
            <w:r>
              <w:rPr>
                <w:rFonts w:hint="eastAsia"/>
                <w:sz w:val="24"/>
                <w:szCs w:val="24"/>
              </w:rPr>
              <w:t>参加人员：各部门全体人员</w:t>
            </w:r>
          </w:p>
          <w:p>
            <w:pPr>
              <w:tabs>
                <w:tab w:val="left" w:pos="6597"/>
              </w:tabs>
              <w:spacing w:line="360" w:lineRule="auto"/>
              <w:ind w:firstLine="480" w:firstLineChars="200"/>
              <w:rPr>
                <w:rFonts w:hint="eastAsia"/>
                <w:sz w:val="24"/>
                <w:szCs w:val="24"/>
              </w:rPr>
            </w:pPr>
            <w:r>
              <w:rPr>
                <w:rFonts w:hint="eastAsia"/>
                <w:sz w:val="24"/>
                <w:szCs w:val="24"/>
              </w:rPr>
              <w:t>演习效果：通过本次消防演习使参加消防演习全体人员对火灾扑救方式、消防器材正确安全使用、逃生自救技巧等都有了明确了解，对今后应对火灾事故，减少人身伤害有很大的帮助。</w:t>
            </w:r>
          </w:p>
          <w:p>
            <w:pPr>
              <w:tabs>
                <w:tab w:val="left" w:pos="6597"/>
              </w:tabs>
              <w:spacing w:line="360" w:lineRule="auto"/>
              <w:ind w:firstLine="480" w:firstLineChars="200"/>
              <w:rPr>
                <w:rFonts w:hint="eastAsia"/>
                <w:sz w:val="24"/>
                <w:szCs w:val="24"/>
              </w:rPr>
            </w:pPr>
            <w:r>
              <w:rPr>
                <w:rFonts w:hint="eastAsia"/>
                <w:sz w:val="24"/>
                <w:szCs w:val="24"/>
              </w:rPr>
              <w:t xml:space="preserve">对应急预案的评价：通过演练，证明公司所制定的应急预案是适宜的，可以正确指导应急过程。   </w:t>
            </w:r>
          </w:p>
          <w:p>
            <w:pPr>
              <w:tabs>
                <w:tab w:val="left" w:pos="6597"/>
              </w:tabs>
              <w:spacing w:line="360" w:lineRule="auto"/>
              <w:ind w:firstLine="480" w:firstLineChars="200"/>
              <w:rPr>
                <w:rFonts w:hint="eastAsia"/>
                <w:sz w:val="24"/>
                <w:szCs w:val="24"/>
              </w:rPr>
            </w:pPr>
            <w:r>
              <w:rPr>
                <w:rFonts w:hint="eastAsia"/>
                <w:sz w:val="24"/>
                <w:szCs w:val="24"/>
              </w:rPr>
              <w:t>评价人：吕惠卿  部门：行政部      日 期：202</w:t>
            </w:r>
            <w:r>
              <w:rPr>
                <w:rFonts w:hint="eastAsia"/>
                <w:sz w:val="24"/>
                <w:szCs w:val="24"/>
                <w:lang w:val="en-US" w:eastAsia="zh-CN"/>
              </w:rPr>
              <w:t>1</w:t>
            </w:r>
            <w:r>
              <w:rPr>
                <w:rFonts w:hint="eastAsia"/>
                <w:sz w:val="24"/>
                <w:szCs w:val="24"/>
              </w:rPr>
              <w:t>年1</w:t>
            </w:r>
            <w:r>
              <w:rPr>
                <w:rFonts w:hint="eastAsia"/>
                <w:sz w:val="24"/>
                <w:szCs w:val="24"/>
                <w:lang w:val="en-US" w:eastAsia="zh-CN"/>
              </w:rPr>
              <w:t>2</w:t>
            </w:r>
            <w:r>
              <w:rPr>
                <w:rFonts w:hint="eastAsia"/>
                <w:sz w:val="24"/>
                <w:szCs w:val="24"/>
              </w:rPr>
              <w:t>月1</w:t>
            </w:r>
            <w:r>
              <w:rPr>
                <w:rFonts w:hint="eastAsia"/>
                <w:sz w:val="24"/>
                <w:szCs w:val="24"/>
                <w:lang w:val="en-US" w:eastAsia="zh-CN"/>
              </w:rPr>
              <w:t>2</w:t>
            </w:r>
            <w:r>
              <w:rPr>
                <w:rFonts w:hint="eastAsia"/>
                <w:sz w:val="24"/>
                <w:szCs w:val="24"/>
              </w:rPr>
              <w:t>日。</w:t>
            </w:r>
          </w:p>
          <w:p>
            <w:pPr>
              <w:pStyle w:val="11"/>
              <w:spacing w:line="360" w:lineRule="auto"/>
              <w:rPr>
                <w:rFonts w:hint="eastAsia" w:asciiTheme="minorEastAsia" w:hAnsiTheme="minorEastAsia" w:eastAsiaTheme="minorEastAsia" w:cstheme="minorEastAsia"/>
                <w:sz w:val="24"/>
                <w:szCs w:val="24"/>
              </w:rPr>
            </w:pP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监视、测量、分析和评价总则</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监视和测量</w:t>
            </w:r>
          </w:p>
        </w:tc>
        <w:tc>
          <w:tcPr>
            <w:tcW w:w="960" w:type="dxa"/>
          </w:tcPr>
          <w:p>
            <w:pPr>
              <w:spacing w:line="360" w:lineRule="auto"/>
              <w:rPr>
                <w:rFonts w:hint="default"/>
                <w:sz w:val="24"/>
                <w:szCs w:val="24"/>
                <w:lang w:val="en-US" w:eastAsia="zh-CN"/>
              </w:rPr>
            </w:pPr>
            <w:r>
              <w:rPr>
                <w:rFonts w:hint="eastAsia"/>
                <w:sz w:val="24"/>
                <w:szCs w:val="24"/>
                <w:lang w:val="en-US" w:eastAsia="zh-CN"/>
              </w:rPr>
              <w:t>ES9.1.1</w:t>
            </w:r>
          </w:p>
        </w:tc>
        <w:tc>
          <w:tcPr>
            <w:tcW w:w="10004" w:type="dxa"/>
          </w:tcPr>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执行</w:t>
            </w:r>
            <w:r>
              <w:rPr>
                <w:rFonts w:hint="eastAsia" w:asciiTheme="minorEastAsia" w:hAnsiTheme="minorEastAsia" w:eastAsiaTheme="minorEastAsia" w:cstheme="minorEastAsia"/>
                <w:sz w:val="24"/>
                <w:szCs w:val="24"/>
                <w:highlight w:val="none"/>
              </w:rPr>
              <w:t>《绩效监视和测量程序》，部门通过月度巡查考核对各部门进行监控。</w:t>
            </w:r>
          </w:p>
          <w:p>
            <w:pPr>
              <w:widowControl/>
              <w:numPr>
                <w:ilvl w:val="0"/>
                <w:numId w:val="2"/>
              </w:numPr>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查《质量、环境和职业健康安全目标指标考核表》，行政部对环境、职业健康安全目标完成情况进行了检测，已全部完成，检查人：吕惠卿。</w:t>
            </w:r>
          </w:p>
          <w:p>
            <w:pPr>
              <w:widowControl/>
              <w:numPr>
                <w:ilvl w:val="0"/>
                <w:numId w:val="2"/>
              </w:numPr>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查</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管理方案检查表》，公司制定的管理方案措施已完成，检查人：吕惠卿、秦晓霞。</w:t>
            </w:r>
            <w:r>
              <w:rPr>
                <w:rFonts w:hint="eastAsia" w:asciiTheme="minorEastAsia" w:hAnsiTheme="minorEastAsia" w:eastAsiaTheme="minorEastAsia" w:cstheme="minorEastAsia"/>
                <w:sz w:val="24"/>
                <w:szCs w:val="24"/>
                <w:highlight w:val="none"/>
                <w:lang w:val="en-US" w:eastAsia="zh-CN"/>
              </w:rPr>
              <w:t>查</w:t>
            </w:r>
            <w:r>
              <w:rPr>
                <w:rFonts w:hint="eastAsia" w:asciiTheme="minorEastAsia" w:hAnsiTheme="minorEastAsia" w:eastAsiaTheme="minorEastAsia" w:cstheme="minorEastAsia"/>
                <w:sz w:val="24"/>
                <w:szCs w:val="24"/>
                <w:highlight w:val="none"/>
              </w:rPr>
              <w:t>《环境安全管理体系检查记录》，</w:t>
            </w:r>
            <w:r>
              <w:rPr>
                <w:rFonts w:hint="eastAsia" w:asciiTheme="minorEastAsia" w:hAnsiTheme="minorEastAsia" w:eastAsiaTheme="minorEastAsia" w:cstheme="minorEastAsia"/>
                <w:sz w:val="24"/>
                <w:szCs w:val="24"/>
                <w:highlight w:val="none"/>
                <w:lang w:eastAsia="zh-CN"/>
              </w:rPr>
              <w:t>每季度</w:t>
            </w:r>
            <w:r>
              <w:rPr>
                <w:rFonts w:hint="eastAsia" w:asciiTheme="minorEastAsia" w:hAnsiTheme="minorEastAsia" w:eastAsiaTheme="minorEastAsia" w:cstheme="minorEastAsia"/>
                <w:sz w:val="24"/>
                <w:szCs w:val="24"/>
                <w:highlight w:val="none"/>
              </w:rPr>
              <w:t>对各部门进行环境安全事项的例行检查，检查项目包括资源能源使用、固体废弃物管理、污水控制、噪声控制、消防设施管理、管理方案控制、食品安全、线路安全等。检查结果：无能源浪费、线路无老化，无私接电源现象，灭火器有效、食品安全有保障等；结果：合格；监测人：吕惠卿、秦晓霞。</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3、经交流确认，公司无安全、环境检测设备。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4、经交流确认，公司员工不涉及职业病。</w:t>
            </w:r>
          </w:p>
          <w:p>
            <w:pPr>
              <w:pStyle w:val="11"/>
              <w:spacing w:line="360" w:lineRule="auto"/>
              <w:ind w:firstLine="5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5、行政部主任负责员工健康的监视，员工每天进行考勤，上班开始后行政部主任会巡视有无员工缺席，如有生病需要请假，在考勤记录中予以登记，回来后销假登记。</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合规性评价</w:t>
            </w:r>
          </w:p>
        </w:tc>
        <w:tc>
          <w:tcPr>
            <w:tcW w:w="960" w:type="dxa"/>
          </w:tcPr>
          <w:p>
            <w:pPr>
              <w:spacing w:line="360" w:lineRule="auto"/>
              <w:rPr>
                <w:rFonts w:hint="default"/>
                <w:sz w:val="24"/>
                <w:szCs w:val="24"/>
                <w:lang w:val="en-US" w:eastAsia="zh-CN"/>
              </w:rPr>
            </w:pPr>
            <w:r>
              <w:rPr>
                <w:rFonts w:hint="eastAsia"/>
                <w:sz w:val="24"/>
                <w:szCs w:val="24"/>
                <w:lang w:val="en-US" w:eastAsia="zh-CN"/>
              </w:rPr>
              <w:t>ES9.1.2</w:t>
            </w:r>
          </w:p>
        </w:tc>
        <w:tc>
          <w:tcPr>
            <w:tcW w:w="10004" w:type="dxa"/>
          </w:tcPr>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策划有</w:t>
            </w:r>
            <w:r>
              <w:rPr>
                <w:rFonts w:hint="eastAsia" w:asciiTheme="minorEastAsia" w:hAnsiTheme="minorEastAsia" w:eastAsiaTheme="minorEastAsia" w:cstheme="minorEastAsia"/>
                <w:sz w:val="24"/>
                <w:szCs w:val="24"/>
                <w:highlight w:val="none"/>
              </w:rPr>
              <w:t>《合规性评价程序》</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提供有“法律法规合规性评价表”及“</w:t>
            </w:r>
            <w:r>
              <w:rPr>
                <w:rFonts w:hint="eastAsia" w:asciiTheme="minorEastAsia" w:hAnsiTheme="minorEastAsia" w:eastAsiaTheme="minorEastAsia" w:cstheme="minorEastAsia"/>
                <w:sz w:val="24"/>
                <w:szCs w:val="24"/>
                <w:highlight w:val="none"/>
              </w:rPr>
              <w:t>法律法规合规性评价报告</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p>
          <w:p>
            <w:pPr>
              <w:pStyle w:val="11"/>
              <w:spacing w:line="360" w:lineRule="auto"/>
              <w:ind w:firstLine="520" w:firstLineChars="200"/>
              <w:rPr>
                <w:rFonts w:hint="default" w:eastAsia="宋体"/>
                <w:sz w:val="24"/>
                <w:szCs w:val="24"/>
                <w:lang w:val="en-US" w:eastAsia="zh-CN"/>
              </w:rPr>
            </w:pPr>
            <w:r>
              <w:rPr>
                <w:rFonts w:hint="eastAsia"/>
                <w:sz w:val="24"/>
                <w:szCs w:val="24"/>
                <w:lang w:val="en-US" w:eastAsia="zh-CN"/>
              </w:rPr>
              <w:t>查2021.8.10.更新的</w:t>
            </w:r>
            <w:r>
              <w:rPr>
                <w:rFonts w:hint="eastAsia" w:asciiTheme="minorEastAsia" w:hAnsiTheme="minorEastAsia" w:eastAsiaTheme="minorEastAsia" w:cstheme="minorEastAsia"/>
                <w:sz w:val="24"/>
                <w:szCs w:val="24"/>
                <w:highlight w:val="none"/>
                <w:lang w:val="en-US" w:eastAsia="zh-CN"/>
              </w:rPr>
              <w:t>“法律法规合规性评价表”，对47项法律法规进行了合规性评价，结论均为符合。</w:t>
            </w:r>
          </w:p>
          <w:p>
            <w:pPr>
              <w:pStyle w:val="11"/>
              <w:spacing w:line="360" w:lineRule="auto"/>
              <w:ind w:firstLine="5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查2021.8.15.的</w:t>
            </w:r>
            <w:r>
              <w:rPr>
                <w:rFonts w:hint="eastAsia" w:asciiTheme="minorEastAsia" w:hAnsiTheme="minorEastAsia" w:eastAsiaTheme="minorEastAsia" w:cstheme="minorEastAsia"/>
                <w:sz w:val="24"/>
                <w:szCs w:val="24"/>
                <w:highlight w:val="none"/>
              </w:rPr>
              <w:t>《法律法规合规性评价报告》</w:t>
            </w:r>
            <w:r>
              <w:rPr>
                <w:rFonts w:hint="eastAsia" w:asciiTheme="minorEastAsia" w:hAnsiTheme="minorEastAsia" w:eastAsiaTheme="minorEastAsia" w:cstheme="minorEastAsia"/>
                <w:sz w:val="24"/>
                <w:szCs w:val="24"/>
                <w:highlight w:val="none"/>
                <w:lang w:val="en-US" w:eastAsia="zh-CN"/>
              </w:rPr>
              <w:t>的结论为：</w:t>
            </w:r>
            <w:r>
              <w:rPr>
                <w:rFonts w:hint="eastAsia"/>
                <w:sz w:val="24"/>
                <w:szCs w:val="24"/>
              </w:rPr>
              <w:t>公司环境、职业健康安全管理体系策划有效，运行正常；</w:t>
            </w:r>
            <w:r>
              <w:rPr>
                <w:rStyle w:val="16"/>
                <w:rFonts w:ascii="ˎ̥" w:hAnsi="ˎ̥"/>
                <w:color w:val="333333"/>
                <w:sz w:val="24"/>
                <w:szCs w:val="24"/>
              </w:rPr>
              <w:t>各部门都能够有效遵循</w:t>
            </w:r>
            <w:r>
              <w:rPr>
                <w:rStyle w:val="16"/>
                <w:rFonts w:hint="eastAsia" w:ascii="ˎ̥" w:hAnsi="ˎ̥"/>
                <w:color w:val="333333"/>
                <w:sz w:val="24"/>
                <w:szCs w:val="24"/>
              </w:rPr>
              <w:t>环境</w:t>
            </w:r>
            <w:r>
              <w:rPr>
                <w:rStyle w:val="16"/>
                <w:rFonts w:ascii="ˎ̥" w:hAnsi="ˎ̥"/>
                <w:color w:val="333333"/>
                <w:sz w:val="24"/>
                <w:szCs w:val="24"/>
              </w:rPr>
              <w:t>法律法规，未发生过环境扰民事件，未有单位和个人投拆，无环境污染事件发生，</w:t>
            </w:r>
            <w:r>
              <w:rPr>
                <w:rStyle w:val="16"/>
                <w:rFonts w:hint="eastAsia" w:ascii="ˎ̥" w:hAnsi="ˎ̥"/>
                <w:color w:val="333333"/>
                <w:sz w:val="24"/>
                <w:szCs w:val="24"/>
              </w:rPr>
              <w:t>公司</w:t>
            </w:r>
            <w:r>
              <w:rPr>
                <w:rStyle w:val="16"/>
                <w:rFonts w:ascii="ˎ̥" w:hAnsi="ˎ̥"/>
                <w:color w:val="333333"/>
                <w:sz w:val="24"/>
                <w:szCs w:val="24"/>
              </w:rPr>
              <w:t>的环境行为基本符合环境法律法规和环境要求</w:t>
            </w:r>
            <w:r>
              <w:rPr>
                <w:rStyle w:val="16"/>
                <w:rFonts w:hint="eastAsia" w:ascii="ˎ̥" w:hAnsi="ˎ̥"/>
                <w:color w:val="333333"/>
                <w:sz w:val="24"/>
                <w:szCs w:val="24"/>
              </w:rPr>
              <w:t>；</w:t>
            </w:r>
            <w:r>
              <w:rPr>
                <w:rFonts w:hint="eastAsia"/>
                <w:sz w:val="24"/>
                <w:szCs w:val="24"/>
              </w:rPr>
              <w:t>各部门、项目能够有效遵循职业健康安全法律法规，无职业健康安全事件发生。</w:t>
            </w:r>
            <w:r>
              <w:rPr>
                <w:rStyle w:val="16"/>
                <w:rFonts w:ascii="ˎ̥" w:hAnsi="ˎ̥"/>
                <w:color w:val="333333"/>
                <w:sz w:val="24"/>
                <w:szCs w:val="24"/>
              </w:rPr>
              <w:t>对在合规性证据收集过程中发现的不符合，责任部门能够及时分析原因，制定和实施纠正即纠正措施，对环保</w:t>
            </w:r>
            <w:r>
              <w:rPr>
                <w:rStyle w:val="16"/>
                <w:rFonts w:hint="eastAsia" w:ascii="ˎ̥" w:hAnsi="ˎ̥"/>
                <w:color w:val="333333"/>
                <w:sz w:val="24"/>
                <w:szCs w:val="24"/>
              </w:rPr>
              <w:t>、职业健康安全</w:t>
            </w:r>
            <w:r>
              <w:rPr>
                <w:rStyle w:val="16"/>
                <w:rFonts w:ascii="ˎ̥" w:hAnsi="ˎ̥"/>
                <w:color w:val="333333"/>
                <w:sz w:val="24"/>
                <w:szCs w:val="24"/>
              </w:rPr>
              <w:t>意识和环境</w:t>
            </w:r>
            <w:r>
              <w:rPr>
                <w:rStyle w:val="16"/>
                <w:rFonts w:hint="eastAsia" w:ascii="ˎ̥" w:hAnsi="ˎ̥"/>
                <w:color w:val="333333"/>
                <w:sz w:val="24"/>
                <w:szCs w:val="24"/>
              </w:rPr>
              <w:t>、职业健康安全</w:t>
            </w:r>
            <w:r>
              <w:rPr>
                <w:rStyle w:val="16"/>
                <w:rFonts w:ascii="ˎ̥" w:hAnsi="ˎ̥"/>
                <w:color w:val="333333"/>
                <w:sz w:val="24"/>
                <w:szCs w:val="24"/>
              </w:rPr>
              <w:t>管理水平的提高起到了明显的促进作用。</w:t>
            </w:r>
            <w:r>
              <w:rPr>
                <w:sz w:val="24"/>
                <w:szCs w:val="24"/>
              </w:rPr>
              <w:br w:type="textWrapping"/>
            </w:r>
            <w:r>
              <w:rPr>
                <w:rFonts w:hint="eastAsia"/>
                <w:sz w:val="24"/>
                <w:szCs w:val="24"/>
              </w:rPr>
              <w:t xml:space="preserve">   </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4"/>
                <w:szCs w:val="24"/>
              </w:rPr>
            </w:pPr>
            <w:r>
              <w:rPr>
                <w:rFonts w:ascii="等线" w:hAnsi="等线" w:eastAsia="等线" w:cs="等线"/>
                <w:color w:val="000000"/>
                <w:kern w:val="0"/>
                <w:sz w:val="24"/>
                <w:szCs w:val="24"/>
                <w:lang w:val="en-US" w:eastAsia="zh-CN" w:bidi="ar"/>
              </w:rPr>
              <w:t xml:space="preserve">分析与评价 </w:t>
            </w:r>
          </w:p>
          <w:p>
            <w:pPr>
              <w:spacing w:line="360" w:lineRule="auto"/>
              <w:rPr>
                <w:rFonts w:hint="eastAsia" w:asciiTheme="minorEastAsia" w:hAnsiTheme="minorEastAsia" w:eastAsiaTheme="minorEastAsia" w:cstheme="minorEastAsia"/>
                <w:color w:val="auto"/>
                <w:sz w:val="24"/>
                <w:szCs w:val="24"/>
                <w:highlight w:val="none"/>
              </w:rPr>
            </w:pPr>
          </w:p>
        </w:tc>
        <w:tc>
          <w:tcPr>
            <w:tcW w:w="960" w:type="dxa"/>
          </w:tcPr>
          <w:p>
            <w:pPr>
              <w:spacing w:line="360" w:lineRule="auto"/>
              <w:rPr>
                <w:rFonts w:hint="default"/>
                <w:sz w:val="24"/>
                <w:szCs w:val="24"/>
                <w:lang w:val="en-US" w:eastAsia="zh-CN"/>
              </w:rPr>
            </w:pPr>
            <w:r>
              <w:rPr>
                <w:rFonts w:hint="eastAsia"/>
                <w:sz w:val="24"/>
                <w:szCs w:val="24"/>
                <w:lang w:val="en-US" w:eastAsia="zh-CN"/>
              </w:rPr>
              <w:t>Q9.1.3</w:t>
            </w:r>
          </w:p>
        </w:tc>
        <w:tc>
          <w:tcPr>
            <w:tcW w:w="10004" w:type="dxa"/>
          </w:tcPr>
          <w:p>
            <w:pPr>
              <w:autoSpaceDE w:val="0"/>
              <w:autoSpaceDN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公司规定了管理体系相关信息的收集、汇总、分析、处理、传递的要求。</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各部门策划和实施必要的监视和测量活动，确保产品、体系和过程的符合性，以持续改进质量管理体系的有效性。</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公司的过程和管理体系的监视和测量主要是通过内审、管理评审、目标考核以及日常工作监测、产品检验、顾客满意度测量等的方式完成。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行政部负责对管理体系、过程的日常监测和质量目标完成情况进行统计分析。对目标完成情况进行收集和统计分析，并制作目标完成情况统计表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结果显示2021年度公司及部门目标均已达成</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物业部负责对供方业绩予以评价，对供方业绩实施了监视和测量，并对产品物业管理（办公）过程的监视和测量活动进行了策划和实施。</w:t>
            </w:r>
          </w:p>
          <w:p>
            <w:pPr>
              <w:autoSpaceDE w:val="0"/>
              <w:autoSpaceDN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行政部</w:t>
            </w:r>
            <w:r>
              <w:rPr>
                <w:rFonts w:hint="eastAsia" w:asciiTheme="minorEastAsia" w:hAnsiTheme="minorEastAsia" w:eastAsiaTheme="minorEastAsia" w:cstheme="minorEastAsia"/>
                <w:sz w:val="24"/>
                <w:szCs w:val="24"/>
                <w:lang w:val="en-US" w:eastAsia="zh-CN"/>
              </w:rPr>
              <w:t>2021.8.11.</w:t>
            </w:r>
            <w:r>
              <w:rPr>
                <w:rFonts w:hint="eastAsia" w:asciiTheme="minorEastAsia" w:hAnsiTheme="minorEastAsia" w:eastAsiaTheme="minorEastAsia" w:cstheme="minorEastAsia"/>
                <w:sz w:val="24"/>
                <w:szCs w:val="24"/>
              </w:rPr>
              <w:t>对顾客满意度进行了评价和分析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结果为94分，达成了既定目标</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日常通过对市场信息、目标完成情况及适宜性、物业管理服务人员过程工作监督、产品质量检验、顾客满意对测量及反馈等作为分析评价的输入，并根据输出情况及时采取了相应措施并改进，公司针对其他信息，进行了随时利用，公司已建立了信息收集的渠道，并实施，但利用深度须加强，已交流。</w:t>
            </w:r>
          </w:p>
          <w:p>
            <w:pPr>
              <w:pStyle w:val="11"/>
              <w:spacing w:line="360" w:lineRule="auto"/>
              <w:ind w:firstLine="5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公司已对管理体系的监视、测量、分析和评价进行了策划，基本能够按照要求实施。</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内审</w:t>
            </w:r>
          </w:p>
        </w:tc>
        <w:tc>
          <w:tcPr>
            <w:tcW w:w="960" w:type="dxa"/>
          </w:tcPr>
          <w:p>
            <w:pPr>
              <w:spacing w:line="360" w:lineRule="auto"/>
              <w:rPr>
                <w:rFonts w:hint="default"/>
                <w:sz w:val="24"/>
                <w:szCs w:val="24"/>
                <w:lang w:val="en-US" w:eastAsia="zh-CN"/>
              </w:rPr>
            </w:pPr>
            <w:r>
              <w:rPr>
                <w:rFonts w:hint="eastAsia"/>
                <w:sz w:val="24"/>
                <w:szCs w:val="24"/>
                <w:lang w:val="en-US" w:eastAsia="zh-CN"/>
              </w:rPr>
              <w:t>QES9.2</w:t>
            </w:r>
          </w:p>
        </w:tc>
        <w:tc>
          <w:tcPr>
            <w:tcW w:w="10004" w:type="dxa"/>
          </w:tcPr>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制定了《内部审核程序》进行内部审核过程控制。提供内审记录，抽查内容如下：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审核组：</w:t>
            </w:r>
            <w:r>
              <w:rPr>
                <w:rFonts w:hint="eastAsia" w:asciiTheme="minorEastAsia" w:hAnsiTheme="minorEastAsia" w:eastAsiaTheme="minorEastAsia"/>
                <w:sz w:val="24"/>
                <w:szCs w:val="24"/>
                <w:lang w:val="en-US" w:eastAsia="zh-CN"/>
              </w:rPr>
              <w:t>吕惠卿</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于建威</w:t>
            </w:r>
            <w:r>
              <w:rPr>
                <w:rFonts w:hint="eastAsia" w:asciiTheme="minorEastAsia" w:hAnsiTheme="minorEastAsia" w:eastAsiaTheme="minorEastAsia"/>
                <w:sz w:val="24"/>
                <w:szCs w:val="24"/>
              </w:rPr>
              <w:t>：签到表显示，总经理、</w:t>
            </w:r>
            <w:r>
              <w:rPr>
                <w:rFonts w:hint="eastAsia" w:ascii="宋体" w:hAnsi="宋体"/>
                <w:sz w:val="24"/>
                <w:szCs w:val="24"/>
              </w:rPr>
              <w:t>管代</w:t>
            </w:r>
            <w:r>
              <w:rPr>
                <w:rFonts w:hint="eastAsia" w:ascii="宋体" w:hAnsi="宋体"/>
                <w:sz w:val="24"/>
                <w:szCs w:val="24"/>
                <w:lang w:eastAsia="zh-CN"/>
              </w:rPr>
              <w:t>、</w:t>
            </w:r>
            <w:r>
              <w:rPr>
                <w:rFonts w:hint="eastAsia" w:ascii="宋体" w:hAnsi="宋体"/>
                <w:sz w:val="24"/>
                <w:szCs w:val="24"/>
              </w:rPr>
              <w:t>行政部</w:t>
            </w:r>
            <w:r>
              <w:rPr>
                <w:rFonts w:hint="eastAsia" w:asciiTheme="minorEastAsia" w:hAnsiTheme="minorEastAsia" w:eastAsiaTheme="minorEastAsia"/>
                <w:sz w:val="24"/>
                <w:szCs w:val="24"/>
              </w:rPr>
              <w:t>、</w:t>
            </w:r>
            <w:r>
              <w:rPr>
                <w:rFonts w:hint="eastAsia" w:ascii="宋体" w:hAnsi="宋体"/>
                <w:sz w:val="24"/>
                <w:szCs w:val="24"/>
              </w:rPr>
              <w:t>物业部</w:t>
            </w:r>
            <w:r>
              <w:rPr>
                <w:rFonts w:hint="eastAsia" w:asciiTheme="minorEastAsia" w:hAnsiTheme="minorEastAsia" w:eastAsiaTheme="minorEastAsia"/>
                <w:sz w:val="24"/>
                <w:szCs w:val="24"/>
              </w:rPr>
              <w:t>、</w:t>
            </w:r>
            <w:r>
              <w:rPr>
                <w:rFonts w:hint="eastAsia" w:ascii="宋体" w:hAnsi="宋体"/>
                <w:sz w:val="24"/>
                <w:szCs w:val="24"/>
              </w:rPr>
              <w:t>安全代表</w:t>
            </w:r>
            <w:r>
              <w:rPr>
                <w:rFonts w:hint="eastAsia" w:asciiTheme="minorEastAsia" w:hAnsiTheme="minorEastAsia" w:eastAsiaTheme="minorEastAsia"/>
                <w:sz w:val="24"/>
                <w:szCs w:val="24"/>
              </w:rPr>
              <w:t>参与了内部审核的首末次会议；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查2021</w:t>
            </w: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.制定计划，2</w:t>
            </w:r>
            <w:r>
              <w:rPr>
                <w:rFonts w:asciiTheme="minorEastAsia" w:hAnsiTheme="minorEastAsia" w:eastAsiaTheme="minorEastAsia"/>
                <w:sz w:val="24"/>
                <w:szCs w:val="24"/>
              </w:rPr>
              <w:t>021.</w:t>
            </w:r>
            <w:r>
              <w:rPr>
                <w:rFonts w:hint="eastAsia" w:asciiTheme="minorEastAsia" w:hAnsiTheme="minorEastAsia" w:eastAsiaTheme="minorEastAsia"/>
                <w:sz w:val="24"/>
                <w:szCs w:val="24"/>
                <w:lang w:val="en-US" w:eastAsia="zh-CN"/>
              </w:rPr>
              <w:t>11.15.</w:t>
            </w:r>
            <w:r>
              <w:rPr>
                <w:rFonts w:hint="eastAsia" w:asciiTheme="minorEastAsia" w:hAnsiTheme="minorEastAsia" w:eastAsiaTheme="minorEastAsia"/>
                <w:sz w:val="24"/>
                <w:szCs w:val="24"/>
              </w:rPr>
              <w:t>实施的内部审核，内容包括审核目的、审核范围、审核准则、审核具体日程安排、编制批准等，内容完整，能够满足策划要求。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提供各部门《内部审核检查表》，内容包括条款号、检查内容、检查记录和结果判定等，记录显示，审核组有按照计划要求进行，满足执行要求。</w:t>
            </w:r>
          </w:p>
          <w:p>
            <w:pPr>
              <w:spacing w:line="36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查《内审报告》中内部审核结论记录如下：</w:t>
            </w:r>
          </w:p>
          <w:p>
            <w:pPr>
              <w:spacing w:line="360" w:lineRule="auto"/>
              <w:ind w:firstLine="240" w:firstLineChars="10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对管理体系的评价</w:t>
            </w:r>
          </w:p>
          <w:p>
            <w:pPr>
              <w:spacing w:line="360" w:lineRule="auto"/>
              <w:ind w:firstLine="480"/>
              <w:rPr>
                <w:rFonts w:ascii="宋体" w:hAnsi="宋体"/>
                <w:sz w:val="24"/>
                <w:szCs w:val="24"/>
              </w:rPr>
            </w:pPr>
            <w:r>
              <w:rPr>
                <w:rFonts w:hint="eastAsia" w:ascii="宋体" w:hAnsi="宋体"/>
                <w:sz w:val="24"/>
                <w:szCs w:val="24"/>
              </w:rPr>
              <w:t>通过本次审核，各部门负责人及员工增强了质量和安全意识，提高了质量和安全方面的控制能力，审核组认为本公司建立的管理体系基本符合</w:t>
            </w:r>
            <w:r>
              <w:rPr>
                <w:rFonts w:hint="eastAsia" w:ascii="宋体" w:hAnsi="宋体" w:eastAsia="宋体" w:cs="宋体"/>
                <w:sz w:val="24"/>
                <w:szCs w:val="24"/>
                <w:lang w:val="de-DE"/>
              </w:rPr>
              <w:t>GB/T19001-2016</w:t>
            </w:r>
            <w:r>
              <w:rPr>
                <w:rFonts w:hint="eastAsia" w:ascii="宋体" w:hAnsi="宋体" w:eastAsia="宋体" w:cs="宋体"/>
                <w:sz w:val="24"/>
                <w:szCs w:val="24"/>
              </w:rPr>
              <w:t>、</w:t>
            </w:r>
            <w:r>
              <w:rPr>
                <w:rFonts w:hint="eastAsia" w:ascii="宋体" w:hAnsi="宋体" w:eastAsia="宋体" w:cs="宋体"/>
                <w:sz w:val="24"/>
                <w:szCs w:val="24"/>
                <w:lang w:val="de-DE"/>
              </w:rPr>
              <w:t>GB/T24001-2016</w:t>
            </w:r>
            <w:r>
              <w:rPr>
                <w:rFonts w:hint="eastAsia" w:ascii="宋体" w:hAnsi="宋体" w:eastAsia="宋体" w:cs="宋体"/>
                <w:sz w:val="24"/>
                <w:szCs w:val="24"/>
              </w:rPr>
              <w:t>、</w:t>
            </w:r>
            <w:r>
              <w:rPr>
                <w:rFonts w:hint="eastAsia" w:ascii="宋体" w:hAnsi="宋体" w:eastAsia="宋体" w:cs="宋体"/>
                <w:sz w:val="24"/>
                <w:szCs w:val="24"/>
                <w:lang w:val="de-DE"/>
              </w:rPr>
              <w:t>GB/T45001-2020</w:t>
            </w:r>
            <w:r>
              <w:rPr>
                <w:rFonts w:hint="eastAsia" w:ascii="宋体" w:hAnsi="宋体"/>
                <w:sz w:val="24"/>
                <w:szCs w:val="24"/>
              </w:rPr>
              <w:t>标准的要求，且运行有效。</w:t>
            </w:r>
          </w:p>
          <w:p>
            <w:pPr>
              <w:spacing w:line="360" w:lineRule="auto"/>
              <w:ind w:firstLine="480"/>
              <w:rPr>
                <w:rFonts w:ascii="宋体" w:hAnsi="宋体"/>
                <w:sz w:val="24"/>
                <w:szCs w:val="24"/>
              </w:rPr>
            </w:pPr>
            <w:r>
              <w:rPr>
                <w:rFonts w:hint="eastAsia" w:ascii="宋体" w:hAnsi="宋体"/>
                <w:sz w:val="24"/>
                <w:szCs w:val="24"/>
              </w:rPr>
              <w:t>⑵</w:t>
            </w:r>
            <w:r>
              <w:rPr>
                <w:rFonts w:ascii="宋体" w:hAnsi="宋体"/>
                <w:sz w:val="24"/>
                <w:szCs w:val="24"/>
              </w:rPr>
              <w:t xml:space="preserve"> </w:t>
            </w:r>
            <w:r>
              <w:rPr>
                <w:rFonts w:hint="eastAsia" w:ascii="宋体" w:hAnsi="宋体"/>
                <w:sz w:val="24"/>
                <w:szCs w:val="24"/>
              </w:rPr>
              <w:t>针对内审时出具的</w:t>
            </w:r>
            <w:r>
              <w:rPr>
                <w:rFonts w:ascii="宋体" w:hAnsi="宋体"/>
                <w:sz w:val="24"/>
                <w:szCs w:val="24"/>
              </w:rPr>
              <w:t>1</w:t>
            </w:r>
            <w:r>
              <w:rPr>
                <w:rFonts w:hint="eastAsia" w:ascii="宋体" w:hAnsi="宋体"/>
                <w:sz w:val="24"/>
                <w:szCs w:val="24"/>
              </w:rPr>
              <w:t>项不符合项报告，各部门要认真分析原因，举一反三，在1-</w:t>
            </w:r>
            <w:r>
              <w:rPr>
                <w:rFonts w:hint="eastAsia" w:ascii="宋体" w:hAnsi="宋体"/>
                <w:sz w:val="24"/>
                <w:szCs w:val="24"/>
                <w:lang w:val="en-US" w:eastAsia="zh-CN"/>
              </w:rPr>
              <w:t>3</w:t>
            </w:r>
            <w:r>
              <w:rPr>
                <w:rFonts w:hint="eastAsia" w:ascii="宋体" w:hAnsi="宋体"/>
                <w:sz w:val="24"/>
                <w:szCs w:val="24"/>
              </w:rPr>
              <w:t>个工作日内，采取有效的纠正措施，由内审员跟踪验证其实施效果。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查《内审不符合报告》，涉及的不符合项如下：</w:t>
            </w:r>
            <w:r>
              <w:rPr>
                <w:rFonts w:hint="eastAsia" w:ascii="宋体" w:hAnsi="宋体"/>
                <w:sz w:val="24"/>
                <w:szCs w:val="24"/>
              </w:rPr>
              <w:t>查无</w:t>
            </w:r>
            <w:r>
              <w:rPr>
                <w:rFonts w:hint="eastAsia" w:ascii="宋体" w:hAnsi="宋体"/>
                <w:color w:val="000000"/>
                <w:kern w:val="0"/>
                <w:sz w:val="24"/>
                <w:szCs w:val="24"/>
              </w:rPr>
              <w:t>供方评价记录表</w:t>
            </w:r>
            <w:r>
              <w:rPr>
                <w:rFonts w:hint="eastAsia" w:ascii="宋体" w:hAnsi="宋体"/>
                <w:sz w:val="24"/>
                <w:szCs w:val="24"/>
              </w:rPr>
              <w:t>，保存不当，不符合GB/T19001-2016标准的</w:t>
            </w:r>
            <w:r>
              <w:rPr>
                <w:rFonts w:hint="eastAsia" w:ascii="宋体" w:hAnsi="宋体"/>
                <w:sz w:val="24"/>
                <w:szCs w:val="24"/>
                <w:lang w:val="en-US" w:eastAsia="zh-CN"/>
              </w:rPr>
              <w:t>8.4</w:t>
            </w:r>
            <w:r>
              <w:rPr>
                <w:rFonts w:hint="eastAsia" w:ascii="宋体" w:hAnsi="宋体"/>
                <w:sz w:val="24"/>
                <w:szCs w:val="24"/>
              </w:rPr>
              <w:t>条款.</w:t>
            </w:r>
            <w:r>
              <w:rPr>
                <w:rFonts w:hint="eastAsia" w:asciiTheme="minorEastAsia" w:hAnsiTheme="minorEastAsia" w:eastAsiaTheme="minorEastAsia"/>
                <w:sz w:val="24"/>
                <w:szCs w:val="24"/>
              </w:rPr>
              <w:t>不符合条款依据正确，且均已完成整改并验证有效，与现场审核发现的情况吻合。</w:t>
            </w:r>
          </w:p>
          <w:p>
            <w:pPr>
              <w:pStyle w:val="11"/>
              <w:spacing w:line="360" w:lineRule="auto"/>
              <w:rPr>
                <w:rFonts w:hint="eastAsia" w:asciiTheme="minorEastAsia" w:hAnsiTheme="minorEastAsia" w:eastAsiaTheme="minorEastAsia" w:cstheme="minorEastAsia"/>
                <w:sz w:val="24"/>
                <w:szCs w:val="24"/>
              </w:rPr>
            </w:pP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ˎ̥">
    <w:altName w:val="Courier New"/>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46F47"/>
    <w:multiLevelType w:val="singleLevel"/>
    <w:tmpl w:val="AD846F47"/>
    <w:lvl w:ilvl="0" w:tentative="0">
      <w:start w:val="1"/>
      <w:numFmt w:val="decimal"/>
      <w:suff w:val="nothing"/>
      <w:lvlText w:val="%1、"/>
      <w:lvlJc w:val="left"/>
    </w:lvl>
  </w:abstractNum>
  <w:abstractNum w:abstractNumId="1">
    <w:nsid w:val="558A54BD"/>
    <w:multiLevelType w:val="singleLevel"/>
    <w:tmpl w:val="558A54BD"/>
    <w:lvl w:ilvl="0" w:tentative="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576944"/>
    <w:rsid w:val="026B3007"/>
    <w:rsid w:val="02811395"/>
    <w:rsid w:val="03451AAA"/>
    <w:rsid w:val="03B64756"/>
    <w:rsid w:val="03C05116"/>
    <w:rsid w:val="05504736"/>
    <w:rsid w:val="057E076F"/>
    <w:rsid w:val="07577FFE"/>
    <w:rsid w:val="07A019A5"/>
    <w:rsid w:val="08B027CF"/>
    <w:rsid w:val="08E16062"/>
    <w:rsid w:val="09197E61"/>
    <w:rsid w:val="0A83402E"/>
    <w:rsid w:val="0A9575E0"/>
    <w:rsid w:val="0BCF1BD4"/>
    <w:rsid w:val="0E6D0107"/>
    <w:rsid w:val="0F4526DE"/>
    <w:rsid w:val="0F9E0235"/>
    <w:rsid w:val="105A4668"/>
    <w:rsid w:val="11E21145"/>
    <w:rsid w:val="12A25CC8"/>
    <w:rsid w:val="12C80001"/>
    <w:rsid w:val="12F71682"/>
    <w:rsid w:val="13656CF9"/>
    <w:rsid w:val="15CC4531"/>
    <w:rsid w:val="16672BA0"/>
    <w:rsid w:val="1711641B"/>
    <w:rsid w:val="17F64EEB"/>
    <w:rsid w:val="18855885"/>
    <w:rsid w:val="189258FB"/>
    <w:rsid w:val="1892740D"/>
    <w:rsid w:val="19157D18"/>
    <w:rsid w:val="19B4129D"/>
    <w:rsid w:val="19BF7D52"/>
    <w:rsid w:val="1A1E600A"/>
    <w:rsid w:val="1A8B19D1"/>
    <w:rsid w:val="1B426CC1"/>
    <w:rsid w:val="1BAF0CD9"/>
    <w:rsid w:val="1D7044AE"/>
    <w:rsid w:val="1DED3012"/>
    <w:rsid w:val="1EB1385E"/>
    <w:rsid w:val="1FB1687F"/>
    <w:rsid w:val="207751FB"/>
    <w:rsid w:val="20B61DE1"/>
    <w:rsid w:val="211B51A1"/>
    <w:rsid w:val="23ED78C8"/>
    <w:rsid w:val="24203439"/>
    <w:rsid w:val="24B228BF"/>
    <w:rsid w:val="24F240EF"/>
    <w:rsid w:val="287012DD"/>
    <w:rsid w:val="2AFC6642"/>
    <w:rsid w:val="2C1B0D4A"/>
    <w:rsid w:val="2C267E1B"/>
    <w:rsid w:val="2CF875BB"/>
    <w:rsid w:val="2D5D48D9"/>
    <w:rsid w:val="2E6874BA"/>
    <w:rsid w:val="2ED04755"/>
    <w:rsid w:val="2EEE2746"/>
    <w:rsid w:val="2F57653D"/>
    <w:rsid w:val="2F994639"/>
    <w:rsid w:val="2FC33879"/>
    <w:rsid w:val="313522D4"/>
    <w:rsid w:val="32470D37"/>
    <w:rsid w:val="32526E17"/>
    <w:rsid w:val="33104C05"/>
    <w:rsid w:val="333460D2"/>
    <w:rsid w:val="334C6900"/>
    <w:rsid w:val="33DB0B5D"/>
    <w:rsid w:val="34030B2A"/>
    <w:rsid w:val="34A75871"/>
    <w:rsid w:val="35FE3333"/>
    <w:rsid w:val="374C5422"/>
    <w:rsid w:val="37DA663F"/>
    <w:rsid w:val="38CB7A12"/>
    <w:rsid w:val="38D64977"/>
    <w:rsid w:val="39050DB8"/>
    <w:rsid w:val="392A77B7"/>
    <w:rsid w:val="39323839"/>
    <w:rsid w:val="39E5156F"/>
    <w:rsid w:val="39EF72AE"/>
    <w:rsid w:val="3ADB092E"/>
    <w:rsid w:val="3B051543"/>
    <w:rsid w:val="3B236C6C"/>
    <w:rsid w:val="3B5953EB"/>
    <w:rsid w:val="3B615DAA"/>
    <w:rsid w:val="3DFF08E6"/>
    <w:rsid w:val="407B1C4F"/>
    <w:rsid w:val="42445D72"/>
    <w:rsid w:val="432815E7"/>
    <w:rsid w:val="43CC2BFE"/>
    <w:rsid w:val="44B813D4"/>
    <w:rsid w:val="44FF701B"/>
    <w:rsid w:val="45BF2A97"/>
    <w:rsid w:val="46113492"/>
    <w:rsid w:val="46990843"/>
    <w:rsid w:val="47305B9A"/>
    <w:rsid w:val="483A1077"/>
    <w:rsid w:val="48515DC8"/>
    <w:rsid w:val="48547666"/>
    <w:rsid w:val="48BD520B"/>
    <w:rsid w:val="4A811DA6"/>
    <w:rsid w:val="4AA2659E"/>
    <w:rsid w:val="4B481704"/>
    <w:rsid w:val="4B6C4CC7"/>
    <w:rsid w:val="4CAC7A71"/>
    <w:rsid w:val="4DA168E4"/>
    <w:rsid w:val="4DE92059"/>
    <w:rsid w:val="4E035DB6"/>
    <w:rsid w:val="4EC2357B"/>
    <w:rsid w:val="4EFA0BEB"/>
    <w:rsid w:val="4FDE49D0"/>
    <w:rsid w:val="506E2DCB"/>
    <w:rsid w:val="511D6A4C"/>
    <w:rsid w:val="514D54EB"/>
    <w:rsid w:val="519D3E2C"/>
    <w:rsid w:val="51D64607"/>
    <w:rsid w:val="53EB5057"/>
    <w:rsid w:val="56F73042"/>
    <w:rsid w:val="572A4A40"/>
    <w:rsid w:val="5738674B"/>
    <w:rsid w:val="57954ADA"/>
    <w:rsid w:val="583D3C73"/>
    <w:rsid w:val="584B45E2"/>
    <w:rsid w:val="58DB16DA"/>
    <w:rsid w:val="5B524AC1"/>
    <w:rsid w:val="5B682BA9"/>
    <w:rsid w:val="5C83529A"/>
    <w:rsid w:val="5E3A6AB6"/>
    <w:rsid w:val="5EAB5750"/>
    <w:rsid w:val="60841FFE"/>
    <w:rsid w:val="61754BCB"/>
    <w:rsid w:val="61AE7167"/>
    <w:rsid w:val="61E909C7"/>
    <w:rsid w:val="6213588A"/>
    <w:rsid w:val="62A81B57"/>
    <w:rsid w:val="630C63AC"/>
    <w:rsid w:val="647523E5"/>
    <w:rsid w:val="64B452BD"/>
    <w:rsid w:val="64B7100A"/>
    <w:rsid w:val="650C334B"/>
    <w:rsid w:val="666A5C9C"/>
    <w:rsid w:val="66E10C4D"/>
    <w:rsid w:val="67C25F42"/>
    <w:rsid w:val="68165E39"/>
    <w:rsid w:val="69AF0748"/>
    <w:rsid w:val="6A086448"/>
    <w:rsid w:val="6AE37ED6"/>
    <w:rsid w:val="6BC03E8C"/>
    <w:rsid w:val="6BC7335C"/>
    <w:rsid w:val="6C081454"/>
    <w:rsid w:val="6C88775B"/>
    <w:rsid w:val="6C981F1F"/>
    <w:rsid w:val="6CA7093D"/>
    <w:rsid w:val="6D584D98"/>
    <w:rsid w:val="6DC61CCC"/>
    <w:rsid w:val="6E554FAC"/>
    <w:rsid w:val="6E682806"/>
    <w:rsid w:val="6E7332BD"/>
    <w:rsid w:val="6EC11872"/>
    <w:rsid w:val="70E21403"/>
    <w:rsid w:val="718A7AD1"/>
    <w:rsid w:val="72835283"/>
    <w:rsid w:val="74F31661"/>
    <w:rsid w:val="755A14C0"/>
    <w:rsid w:val="76B455F0"/>
    <w:rsid w:val="77930288"/>
    <w:rsid w:val="77BD2A49"/>
    <w:rsid w:val="781866E8"/>
    <w:rsid w:val="782642CC"/>
    <w:rsid w:val="79782905"/>
    <w:rsid w:val="79E166FC"/>
    <w:rsid w:val="7A91424F"/>
    <w:rsid w:val="7AD91B54"/>
    <w:rsid w:val="7B4038F6"/>
    <w:rsid w:val="7C464F3C"/>
    <w:rsid w:val="7CB63E70"/>
    <w:rsid w:val="7D370F77"/>
    <w:rsid w:val="7D6E64F9"/>
    <w:rsid w:val="7D7F5021"/>
    <w:rsid w:val="7EDA3AA7"/>
    <w:rsid w:val="7F8F4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character" w:customStyle="1" w:styleId="10">
    <w:name w:val="页眉 Char"/>
    <w:basedOn w:val="9"/>
    <w:link w:val="6"/>
    <w:qFormat/>
    <w:uiPriority w:val="99"/>
    <w:rPr>
      <w:rFonts w:ascii="Times New Roman" w:hAnsi="Times New Roman" w:eastAsia="宋体" w:cs="Times New Roman"/>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
    <w:name w:val="textcontents"/>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12</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2022-02-26T21:12:48Z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